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5179C" w14:textId="439CA529" w:rsidR="009C112D" w:rsidRDefault="00E20655" w:rsidP="00E20655">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Houses in Multiple Occupation and residential property licensing reforms:</w:t>
      </w:r>
    </w:p>
    <w:p w14:paraId="63077271" w14:textId="4E730842" w:rsidR="003B7209" w:rsidRPr="00E20655" w:rsidRDefault="009C112D" w:rsidP="00E20655">
      <w:pPr>
        <w:spacing w:line="360" w:lineRule="auto"/>
        <w:jc w:val="center"/>
        <w:rPr>
          <w:rFonts w:ascii="Times New Roman" w:hAnsi="Times New Roman" w:cs="Times New Roman"/>
          <w:b/>
          <w:sz w:val="24"/>
          <w:szCs w:val="24"/>
          <w:u w:val="single"/>
        </w:rPr>
      </w:pPr>
      <w:r w:rsidRPr="00E20655">
        <w:rPr>
          <w:rFonts w:ascii="Times New Roman" w:hAnsi="Times New Roman" w:cs="Times New Roman"/>
          <w:b/>
          <w:sz w:val="24"/>
          <w:szCs w:val="24"/>
          <w:u w:val="single"/>
        </w:rPr>
        <w:t xml:space="preserve">Consultation Response by </w:t>
      </w:r>
      <w:r w:rsidR="00E20655">
        <w:rPr>
          <w:rFonts w:ascii="Times New Roman" w:hAnsi="Times New Roman" w:cs="Times New Roman"/>
          <w:b/>
          <w:sz w:val="24"/>
          <w:szCs w:val="24"/>
          <w:u w:val="single"/>
        </w:rPr>
        <w:t xml:space="preserve">the </w:t>
      </w:r>
      <w:r w:rsidRPr="00E20655">
        <w:rPr>
          <w:rFonts w:ascii="Times New Roman" w:hAnsi="Times New Roman" w:cs="Times New Roman"/>
          <w:b/>
          <w:sz w:val="24"/>
          <w:szCs w:val="24"/>
          <w:u w:val="single"/>
        </w:rPr>
        <w:t>Housing Law Practitioners Association (HLPA)</w:t>
      </w:r>
    </w:p>
    <w:p w14:paraId="14E330E2" w14:textId="77777777" w:rsidR="00E5538F" w:rsidRDefault="00E5538F" w:rsidP="00E20655">
      <w:pPr>
        <w:spacing w:line="360" w:lineRule="auto"/>
        <w:rPr>
          <w:rFonts w:ascii="Times New Roman" w:hAnsi="Times New Roman" w:cs="Times New Roman"/>
          <w:sz w:val="24"/>
          <w:szCs w:val="24"/>
          <w:u w:val="single"/>
        </w:rPr>
      </w:pPr>
    </w:p>
    <w:p w14:paraId="6B78F8B9" w14:textId="1AEAC174" w:rsidR="00E20655" w:rsidRPr="00E20655" w:rsidRDefault="00E20655" w:rsidP="00E20655">
      <w:pPr>
        <w:spacing w:line="360" w:lineRule="auto"/>
        <w:rPr>
          <w:rFonts w:ascii="Times New Roman" w:hAnsi="Times New Roman" w:cs="Times New Roman"/>
          <w:sz w:val="24"/>
          <w:szCs w:val="24"/>
          <w:u w:val="single"/>
        </w:rPr>
      </w:pPr>
      <w:r w:rsidRPr="004D5AFD">
        <w:rPr>
          <w:rFonts w:ascii="Times New Roman" w:hAnsi="Times New Roman" w:cs="Times New Roman"/>
          <w:i/>
          <w:sz w:val="24"/>
          <w:szCs w:val="24"/>
        </w:rPr>
        <w:t>HLPA</w:t>
      </w:r>
    </w:p>
    <w:p w14:paraId="22835AF6" w14:textId="513B7481" w:rsidR="003B7209" w:rsidRPr="00E20655" w:rsidRDefault="003B7209" w:rsidP="00E20655">
      <w:pPr>
        <w:pStyle w:val="ListParagraph"/>
        <w:numPr>
          <w:ilvl w:val="0"/>
          <w:numId w:val="1"/>
        </w:numPr>
        <w:spacing w:line="360" w:lineRule="auto"/>
        <w:jc w:val="both"/>
        <w:rPr>
          <w:rFonts w:ascii="Times New Roman" w:hAnsi="Times New Roman" w:cs="Times New Roman"/>
          <w:sz w:val="24"/>
          <w:szCs w:val="24"/>
        </w:rPr>
      </w:pPr>
      <w:r w:rsidRPr="00E20655">
        <w:rPr>
          <w:rFonts w:ascii="Times New Roman" w:hAnsi="Times New Roman" w:cs="Times New Roman"/>
          <w:sz w:val="24"/>
          <w:szCs w:val="24"/>
        </w:rPr>
        <w:t>The  Housing  Law  Practitioners  Association  (HLPA)  is  an  organisation  of  solicitors, barristers,  advice  workers,  environmental  health  officers,  academics, and others  who work in the field of housing law. Membership  is  open  to  all  those  who  use  housing  law  for  the  benefit  of  the  homeless, tenants and other occupiers of housing. It has members throughout England and Wales.</w:t>
      </w:r>
      <w:r w:rsidR="00E20655" w:rsidRPr="00E20655">
        <w:rPr>
          <w:rFonts w:ascii="Times New Roman" w:hAnsi="Times New Roman" w:cs="Times New Roman"/>
          <w:sz w:val="24"/>
          <w:szCs w:val="24"/>
        </w:rPr>
        <w:t xml:space="preserve">  </w:t>
      </w:r>
      <w:r w:rsidRPr="00E20655">
        <w:rPr>
          <w:rFonts w:ascii="Times New Roman" w:hAnsi="Times New Roman" w:cs="Times New Roman"/>
          <w:sz w:val="24"/>
          <w:szCs w:val="24"/>
        </w:rPr>
        <w:t>HLPA has existed for over 25 years. Its main function is the holding of regular meetings for members on topics suggested by the membership and led by practitioners particularly experienced in that area, almost invariably members themselves.</w:t>
      </w:r>
      <w:r w:rsidR="00E20655">
        <w:rPr>
          <w:rFonts w:ascii="Times New Roman" w:hAnsi="Times New Roman" w:cs="Times New Roman"/>
          <w:sz w:val="24"/>
          <w:szCs w:val="24"/>
        </w:rPr>
        <w:t xml:space="preserve">  </w:t>
      </w:r>
      <w:r w:rsidRPr="00E20655">
        <w:rPr>
          <w:rFonts w:ascii="Times New Roman" w:hAnsi="Times New Roman" w:cs="Times New Roman"/>
          <w:sz w:val="24"/>
          <w:szCs w:val="24"/>
        </w:rPr>
        <w:t>The Association is regularly consulted on proposed changes in housing law or in legal changes which may impact on housing law (whether by prim</w:t>
      </w:r>
      <w:r w:rsidR="00E20655">
        <w:rPr>
          <w:rFonts w:ascii="Times New Roman" w:hAnsi="Times New Roman" w:cs="Times New Roman"/>
          <w:sz w:val="24"/>
          <w:szCs w:val="24"/>
        </w:rPr>
        <w:t xml:space="preserve">ary or subordinate legislation </w:t>
      </w:r>
      <w:r w:rsidRPr="00E20655">
        <w:rPr>
          <w:rFonts w:ascii="Times New Roman" w:hAnsi="Times New Roman" w:cs="Times New Roman"/>
          <w:sz w:val="24"/>
          <w:szCs w:val="24"/>
        </w:rPr>
        <w:t xml:space="preserve">or statutory guidance).  HLPA’s responses are available at </w:t>
      </w:r>
      <w:hyperlink r:id="rId8" w:history="1">
        <w:r w:rsidRPr="00E20655">
          <w:rPr>
            <w:rStyle w:val="Hyperlink"/>
            <w:rFonts w:ascii="Times New Roman" w:hAnsi="Times New Roman" w:cs="Times New Roman"/>
            <w:sz w:val="24"/>
            <w:szCs w:val="24"/>
          </w:rPr>
          <w:t>www.hlpa.org.uk</w:t>
        </w:r>
      </w:hyperlink>
      <w:r w:rsidRPr="00E20655">
        <w:rPr>
          <w:rFonts w:ascii="Times New Roman" w:hAnsi="Times New Roman" w:cs="Times New Roman"/>
          <w:sz w:val="24"/>
          <w:szCs w:val="24"/>
        </w:rPr>
        <w:t>.</w:t>
      </w:r>
      <w:r w:rsidR="00E20655">
        <w:rPr>
          <w:rFonts w:ascii="Times New Roman" w:hAnsi="Times New Roman" w:cs="Times New Roman"/>
          <w:sz w:val="24"/>
          <w:szCs w:val="24"/>
        </w:rPr>
        <w:t xml:space="preserve">  </w:t>
      </w:r>
      <w:r w:rsidRPr="00E20655">
        <w:rPr>
          <w:rFonts w:ascii="Times New Roman" w:hAnsi="Times New Roman" w:cs="Times New Roman"/>
          <w:sz w:val="24"/>
          <w:szCs w:val="24"/>
        </w:rPr>
        <w:t xml:space="preserve">Membership of HLPA is on the basis of a commitment to HLPA’s objectives. These objectives are: </w:t>
      </w:r>
    </w:p>
    <w:p w14:paraId="24454312" w14:textId="77777777" w:rsidR="003B7209" w:rsidRPr="00E20655" w:rsidRDefault="003B7209" w:rsidP="00E20655">
      <w:pPr>
        <w:pStyle w:val="ListParagraph"/>
        <w:numPr>
          <w:ilvl w:val="0"/>
          <w:numId w:val="2"/>
        </w:numPr>
        <w:spacing w:line="360" w:lineRule="auto"/>
        <w:jc w:val="both"/>
        <w:rPr>
          <w:rFonts w:ascii="Times New Roman" w:hAnsi="Times New Roman" w:cs="Times New Roman"/>
          <w:sz w:val="24"/>
          <w:szCs w:val="24"/>
        </w:rPr>
      </w:pPr>
      <w:r w:rsidRPr="00E20655">
        <w:rPr>
          <w:rFonts w:ascii="Times New Roman" w:hAnsi="Times New Roman" w:cs="Times New Roman"/>
          <w:sz w:val="24"/>
          <w:szCs w:val="24"/>
        </w:rPr>
        <w:t xml:space="preserve">To promote, foster and develop equal access to the legal system. </w:t>
      </w:r>
    </w:p>
    <w:p w14:paraId="102AC9C1" w14:textId="77777777" w:rsidR="003B7209" w:rsidRPr="00E20655" w:rsidRDefault="003B7209" w:rsidP="00E20655">
      <w:pPr>
        <w:pStyle w:val="ListParagraph"/>
        <w:numPr>
          <w:ilvl w:val="0"/>
          <w:numId w:val="2"/>
        </w:numPr>
        <w:spacing w:line="360" w:lineRule="auto"/>
        <w:jc w:val="both"/>
        <w:rPr>
          <w:rFonts w:ascii="Times New Roman" w:hAnsi="Times New Roman" w:cs="Times New Roman"/>
          <w:sz w:val="24"/>
          <w:szCs w:val="24"/>
        </w:rPr>
      </w:pPr>
      <w:r w:rsidRPr="00E20655">
        <w:rPr>
          <w:rFonts w:ascii="Times New Roman" w:hAnsi="Times New Roman" w:cs="Times New Roman"/>
          <w:sz w:val="24"/>
          <w:szCs w:val="24"/>
        </w:rPr>
        <w:t xml:space="preserve">To  promote,  foster  and  develop  the  rights  of  homeless  persons,  tenants  and  others who  receive  housing  services  or  are  disadvantaged  in  the  provision  of housing. </w:t>
      </w:r>
    </w:p>
    <w:p w14:paraId="548ABE23" w14:textId="77777777" w:rsidR="003B7209" w:rsidRPr="00E20655" w:rsidRDefault="003B7209" w:rsidP="00E20655">
      <w:pPr>
        <w:pStyle w:val="ListParagraph"/>
        <w:numPr>
          <w:ilvl w:val="0"/>
          <w:numId w:val="2"/>
        </w:numPr>
        <w:spacing w:line="360" w:lineRule="auto"/>
        <w:jc w:val="both"/>
        <w:rPr>
          <w:rFonts w:ascii="Times New Roman" w:hAnsi="Times New Roman" w:cs="Times New Roman"/>
          <w:sz w:val="24"/>
          <w:szCs w:val="24"/>
        </w:rPr>
      </w:pPr>
      <w:r w:rsidRPr="00E20655">
        <w:rPr>
          <w:rFonts w:ascii="Times New Roman" w:hAnsi="Times New Roman" w:cs="Times New Roman"/>
          <w:sz w:val="24"/>
          <w:szCs w:val="24"/>
        </w:rPr>
        <w:t xml:space="preserve">To  foster  the  role  of  the  legal  process  in  the  protection  of  tenants  and  other residential occupiers. </w:t>
      </w:r>
    </w:p>
    <w:p w14:paraId="69AD3A6D" w14:textId="77777777" w:rsidR="003B7209" w:rsidRPr="00E20655" w:rsidRDefault="003B7209" w:rsidP="00E20655">
      <w:pPr>
        <w:pStyle w:val="ListParagraph"/>
        <w:numPr>
          <w:ilvl w:val="0"/>
          <w:numId w:val="2"/>
        </w:numPr>
        <w:spacing w:line="360" w:lineRule="auto"/>
        <w:jc w:val="both"/>
        <w:rPr>
          <w:rFonts w:ascii="Times New Roman" w:hAnsi="Times New Roman" w:cs="Times New Roman"/>
          <w:sz w:val="24"/>
          <w:szCs w:val="24"/>
        </w:rPr>
      </w:pPr>
      <w:r w:rsidRPr="00E20655">
        <w:rPr>
          <w:rFonts w:ascii="Times New Roman" w:hAnsi="Times New Roman" w:cs="Times New Roman"/>
          <w:sz w:val="24"/>
          <w:szCs w:val="24"/>
        </w:rPr>
        <w:t xml:space="preserve">To foster the role of the legal process in the promotion of higher standards of housing construction, improvement and repair, landlord services to tenants and local authority services to public and private sector tenants, homeless persons and </w:t>
      </w:r>
      <w:proofErr w:type="gramStart"/>
      <w:r w:rsidRPr="00E20655">
        <w:rPr>
          <w:rFonts w:ascii="Times New Roman" w:hAnsi="Times New Roman" w:cs="Times New Roman"/>
          <w:sz w:val="24"/>
          <w:szCs w:val="24"/>
        </w:rPr>
        <w:t>others</w:t>
      </w:r>
      <w:proofErr w:type="gramEnd"/>
      <w:r w:rsidRPr="00E20655">
        <w:rPr>
          <w:rFonts w:ascii="Times New Roman" w:hAnsi="Times New Roman" w:cs="Times New Roman"/>
          <w:sz w:val="24"/>
          <w:szCs w:val="24"/>
        </w:rPr>
        <w:t xml:space="preserve"> in need of advice and assistance in housing provision. </w:t>
      </w:r>
    </w:p>
    <w:p w14:paraId="35A74F26" w14:textId="77777777" w:rsidR="003B7209" w:rsidRPr="00E20655" w:rsidRDefault="003B7209" w:rsidP="00E20655">
      <w:pPr>
        <w:pStyle w:val="ListParagraph"/>
        <w:numPr>
          <w:ilvl w:val="0"/>
          <w:numId w:val="2"/>
        </w:numPr>
        <w:spacing w:line="360" w:lineRule="auto"/>
        <w:jc w:val="both"/>
        <w:rPr>
          <w:rFonts w:ascii="Times New Roman" w:hAnsi="Times New Roman" w:cs="Times New Roman"/>
          <w:sz w:val="24"/>
          <w:szCs w:val="24"/>
        </w:rPr>
      </w:pPr>
      <w:r w:rsidRPr="00E20655">
        <w:rPr>
          <w:rFonts w:ascii="Times New Roman" w:hAnsi="Times New Roman" w:cs="Times New Roman"/>
          <w:sz w:val="24"/>
          <w:szCs w:val="24"/>
        </w:rPr>
        <w:t>To promote and develop expertise in the practice of housing law by education and the exchange of information and knowledge.</w:t>
      </w:r>
    </w:p>
    <w:p w14:paraId="69161711" w14:textId="77777777" w:rsidR="00E5538F" w:rsidRDefault="00E5538F" w:rsidP="00E20655">
      <w:pPr>
        <w:spacing w:line="360" w:lineRule="auto"/>
        <w:jc w:val="both"/>
        <w:rPr>
          <w:rFonts w:ascii="Times New Roman" w:hAnsi="Times New Roman" w:cs="Times New Roman"/>
          <w:sz w:val="24"/>
          <w:szCs w:val="24"/>
        </w:rPr>
      </w:pPr>
    </w:p>
    <w:p w14:paraId="3B1AA0CF" w14:textId="77777777" w:rsidR="00F87D32" w:rsidRDefault="00F87D32" w:rsidP="00E20655">
      <w:pPr>
        <w:spacing w:line="360" w:lineRule="auto"/>
        <w:jc w:val="both"/>
        <w:rPr>
          <w:rFonts w:ascii="Times New Roman" w:hAnsi="Times New Roman" w:cs="Times New Roman"/>
          <w:sz w:val="24"/>
          <w:szCs w:val="24"/>
        </w:rPr>
      </w:pPr>
    </w:p>
    <w:p w14:paraId="079808B5" w14:textId="77777777" w:rsidR="00F87D32" w:rsidRDefault="00F87D32" w:rsidP="00E20655">
      <w:pPr>
        <w:spacing w:line="360" w:lineRule="auto"/>
        <w:jc w:val="both"/>
        <w:rPr>
          <w:rFonts w:ascii="Times New Roman" w:hAnsi="Times New Roman" w:cs="Times New Roman"/>
          <w:sz w:val="24"/>
          <w:szCs w:val="24"/>
        </w:rPr>
      </w:pPr>
    </w:p>
    <w:p w14:paraId="2AA88E0E" w14:textId="2D0E35C7" w:rsidR="00E20655" w:rsidRPr="004D5AFD" w:rsidRDefault="00E20655" w:rsidP="00E20655">
      <w:pPr>
        <w:spacing w:line="360" w:lineRule="auto"/>
        <w:jc w:val="both"/>
        <w:rPr>
          <w:rFonts w:ascii="Times New Roman" w:hAnsi="Times New Roman" w:cs="Times New Roman"/>
          <w:i/>
          <w:sz w:val="24"/>
          <w:szCs w:val="24"/>
        </w:rPr>
      </w:pPr>
      <w:r w:rsidRPr="004D5AFD">
        <w:rPr>
          <w:rFonts w:ascii="Times New Roman" w:hAnsi="Times New Roman" w:cs="Times New Roman"/>
          <w:i/>
          <w:sz w:val="24"/>
          <w:szCs w:val="24"/>
        </w:rPr>
        <w:t>Extension of mandatory licensing of Houses in Multiple Occupation</w:t>
      </w:r>
    </w:p>
    <w:p w14:paraId="3F281BD3" w14:textId="51BE365E" w:rsidR="00E20655" w:rsidRDefault="00E20655" w:rsidP="00E2065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summary, HLPA supports the extension of mandatory licensing of Houses in Multiple Occupation (“HMOs”).  However, they are concerned as to the availability of resources to enable enforcement of the proposed new regime.  </w:t>
      </w:r>
    </w:p>
    <w:p w14:paraId="7AC07B63" w14:textId="77777777" w:rsidR="00DB62FE" w:rsidRDefault="00DB62FE" w:rsidP="00DB62FE">
      <w:pPr>
        <w:pStyle w:val="ListParagraph"/>
        <w:spacing w:line="360" w:lineRule="auto"/>
        <w:ind w:left="360"/>
        <w:jc w:val="both"/>
        <w:rPr>
          <w:rFonts w:ascii="Times New Roman" w:hAnsi="Times New Roman" w:cs="Times New Roman"/>
          <w:sz w:val="24"/>
          <w:szCs w:val="24"/>
        </w:rPr>
      </w:pPr>
    </w:p>
    <w:p w14:paraId="6988BF34" w14:textId="435F1E3F" w:rsidR="00C328D2" w:rsidRPr="00E8134D" w:rsidRDefault="00DB62FE" w:rsidP="00E8134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Question 1</w:t>
      </w:r>
      <w:r>
        <w:rPr>
          <w:rFonts w:ascii="Times New Roman" w:hAnsi="Times New Roman" w:cs="Times New Roman"/>
          <w:sz w:val="24"/>
          <w:szCs w:val="24"/>
        </w:rPr>
        <w:t>: HLPA do not consider that the proposal is sufficiently clear.</w:t>
      </w:r>
      <w:r w:rsidR="000E534D">
        <w:rPr>
          <w:rFonts w:ascii="Times New Roman" w:hAnsi="Times New Roman" w:cs="Times New Roman"/>
          <w:sz w:val="24"/>
          <w:szCs w:val="24"/>
        </w:rPr>
        <w:t xml:space="preserve">  </w:t>
      </w:r>
      <w:r w:rsidR="00E8134D">
        <w:rPr>
          <w:rFonts w:ascii="Times New Roman" w:hAnsi="Times New Roman" w:cs="Times New Roman"/>
          <w:sz w:val="24"/>
          <w:szCs w:val="24"/>
        </w:rPr>
        <w:t xml:space="preserve">In particular, as a result of removing the 3 storey rule, self-contained flats occupied by 5 persons or more in households of 2 or more will prima facie become subject to mandatory licensing.  The consultation paper does not show any clear recognition of this fact.  It is therefore unclear whether the further rules as to flats are an unintentional contradiction of this, or an intentional limit on it by bringing out of the regime flats which would otherwise be in it.  </w:t>
      </w:r>
      <w:r w:rsidR="00C328D2" w:rsidRPr="00E8134D">
        <w:rPr>
          <w:rFonts w:ascii="Times New Roman" w:hAnsi="Times New Roman" w:cs="Times New Roman"/>
          <w:sz w:val="24"/>
          <w:szCs w:val="24"/>
        </w:rPr>
        <w:t xml:space="preserve">HLPA also consider that the phrase </w:t>
      </w:r>
      <w:r w:rsidR="00C328D2" w:rsidRPr="00E8134D">
        <w:rPr>
          <w:rFonts w:ascii="Times New Roman" w:hAnsi="Times New Roman" w:cs="Times New Roman"/>
          <w:i/>
          <w:sz w:val="24"/>
          <w:szCs w:val="24"/>
        </w:rPr>
        <w:t>“purpose built block”</w:t>
      </w:r>
      <w:r w:rsidR="00C328D2" w:rsidRPr="00E8134D">
        <w:rPr>
          <w:rFonts w:ascii="Times New Roman" w:hAnsi="Times New Roman" w:cs="Times New Roman"/>
          <w:sz w:val="24"/>
          <w:szCs w:val="24"/>
        </w:rPr>
        <w:t xml:space="preserve"> requires definition: it is unclear what the </w:t>
      </w:r>
      <w:r w:rsidR="00C328D2" w:rsidRPr="00E8134D">
        <w:rPr>
          <w:rFonts w:ascii="Times New Roman" w:hAnsi="Times New Roman" w:cs="Times New Roman"/>
          <w:i/>
          <w:sz w:val="24"/>
          <w:szCs w:val="24"/>
        </w:rPr>
        <w:t xml:space="preserve">“purpose” </w:t>
      </w:r>
      <w:r w:rsidR="00C328D2" w:rsidRPr="00E8134D">
        <w:rPr>
          <w:rFonts w:ascii="Times New Roman" w:hAnsi="Times New Roman" w:cs="Times New Roman"/>
          <w:sz w:val="24"/>
          <w:szCs w:val="24"/>
        </w:rPr>
        <w:t>referred to is.</w:t>
      </w:r>
    </w:p>
    <w:p w14:paraId="3EDF4470" w14:textId="77777777" w:rsidR="00C328D2" w:rsidRDefault="00C328D2" w:rsidP="00C328D2">
      <w:pPr>
        <w:pStyle w:val="ListParagraph"/>
        <w:spacing w:line="360" w:lineRule="auto"/>
        <w:ind w:left="1080"/>
        <w:jc w:val="both"/>
        <w:rPr>
          <w:rFonts w:ascii="Times New Roman" w:hAnsi="Times New Roman" w:cs="Times New Roman"/>
          <w:sz w:val="24"/>
          <w:szCs w:val="24"/>
        </w:rPr>
      </w:pPr>
    </w:p>
    <w:p w14:paraId="5BC565CD" w14:textId="6044010B" w:rsidR="00C328D2" w:rsidRDefault="00C328D2" w:rsidP="00C328D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Question 2</w:t>
      </w:r>
      <w:r>
        <w:rPr>
          <w:rFonts w:ascii="Times New Roman" w:hAnsi="Times New Roman" w:cs="Times New Roman"/>
          <w:sz w:val="24"/>
          <w:szCs w:val="24"/>
        </w:rPr>
        <w:t xml:space="preserve">: HLPA </w:t>
      </w:r>
      <w:r w:rsidR="00BE2C75">
        <w:rPr>
          <w:rFonts w:ascii="Times New Roman" w:hAnsi="Times New Roman" w:cs="Times New Roman"/>
          <w:sz w:val="24"/>
          <w:szCs w:val="24"/>
        </w:rPr>
        <w:t xml:space="preserve">consider that this question could have been more clearly worded, but </w:t>
      </w:r>
      <w:r>
        <w:rPr>
          <w:rFonts w:ascii="Times New Roman" w:hAnsi="Times New Roman" w:cs="Times New Roman"/>
          <w:sz w:val="24"/>
          <w:szCs w:val="24"/>
        </w:rPr>
        <w:t>understand that the threshold referred to is a reference to the number of flats contained within the purpose-built block (namely 1 or 2) above which the mandatory licensing will not apply (unless a different test</w:t>
      </w:r>
      <w:r w:rsidR="00BE2C75">
        <w:rPr>
          <w:rFonts w:ascii="Times New Roman" w:hAnsi="Times New Roman" w:cs="Times New Roman"/>
          <w:sz w:val="24"/>
          <w:szCs w:val="24"/>
        </w:rPr>
        <w:t xml:space="preserve"> </w:t>
      </w:r>
      <w:r w:rsidR="00F87D32">
        <w:rPr>
          <w:rFonts w:ascii="Times New Roman" w:hAnsi="Times New Roman" w:cs="Times New Roman"/>
          <w:sz w:val="24"/>
          <w:szCs w:val="24"/>
        </w:rPr>
        <w:t>is satisfied</w:t>
      </w:r>
      <w:r>
        <w:rPr>
          <w:rFonts w:ascii="Times New Roman" w:hAnsi="Times New Roman" w:cs="Times New Roman"/>
          <w:sz w:val="24"/>
          <w:szCs w:val="24"/>
        </w:rPr>
        <w:t>).  HLPA repeat their answer to Question 1 as</w:t>
      </w:r>
      <w:r w:rsidR="00F87D32">
        <w:rPr>
          <w:rFonts w:ascii="Times New Roman" w:hAnsi="Times New Roman" w:cs="Times New Roman"/>
          <w:sz w:val="24"/>
          <w:szCs w:val="24"/>
        </w:rPr>
        <w:t xml:space="preserve"> to the lack of clarity concerning</w:t>
      </w:r>
      <w:r>
        <w:rPr>
          <w:rFonts w:ascii="Times New Roman" w:hAnsi="Times New Roman" w:cs="Times New Roman"/>
          <w:sz w:val="24"/>
          <w:szCs w:val="24"/>
        </w:rPr>
        <w:t xml:space="preserve"> when a self-contained flat will be an HMO subject to mandatory licensing.</w:t>
      </w:r>
      <w:r w:rsidR="00964323">
        <w:rPr>
          <w:rFonts w:ascii="Times New Roman" w:hAnsi="Times New Roman" w:cs="Times New Roman"/>
          <w:sz w:val="24"/>
          <w:szCs w:val="24"/>
        </w:rPr>
        <w:t xml:space="preserve">  HLPA do not agree that mandatory licensing should be limited to 1 or 2 flats only within a purpose-built block.  HLPA consider that the problems which mandatory licensing is designed to address </w:t>
      </w:r>
      <w:r w:rsidR="00BE2C75">
        <w:rPr>
          <w:rFonts w:ascii="Times New Roman" w:hAnsi="Times New Roman" w:cs="Times New Roman"/>
          <w:sz w:val="24"/>
          <w:szCs w:val="24"/>
        </w:rPr>
        <w:t>are equally likely to exist</w:t>
      </w:r>
      <w:r w:rsidR="00964323">
        <w:rPr>
          <w:rFonts w:ascii="Times New Roman" w:hAnsi="Times New Roman" w:cs="Times New Roman"/>
          <w:sz w:val="24"/>
          <w:szCs w:val="24"/>
        </w:rPr>
        <w:t xml:space="preserve"> in blocks containing more than 1 or 2 flats </w:t>
      </w:r>
      <w:r w:rsidR="00BE2C75">
        <w:rPr>
          <w:rFonts w:ascii="Times New Roman" w:hAnsi="Times New Roman" w:cs="Times New Roman"/>
          <w:sz w:val="24"/>
          <w:szCs w:val="24"/>
        </w:rPr>
        <w:t>and the reasons for this threshold are not made clear in the consultation document.  HLPA</w:t>
      </w:r>
      <w:r w:rsidR="00964323">
        <w:rPr>
          <w:rFonts w:ascii="Times New Roman" w:hAnsi="Times New Roman" w:cs="Times New Roman"/>
          <w:sz w:val="24"/>
          <w:szCs w:val="24"/>
        </w:rPr>
        <w:t xml:space="preserve"> </w:t>
      </w:r>
      <w:r w:rsidR="00BE2C75">
        <w:rPr>
          <w:rFonts w:ascii="Times New Roman" w:hAnsi="Times New Roman" w:cs="Times New Roman"/>
          <w:sz w:val="24"/>
          <w:szCs w:val="24"/>
        </w:rPr>
        <w:t xml:space="preserve">therefore </w:t>
      </w:r>
      <w:r w:rsidR="00964323">
        <w:rPr>
          <w:rFonts w:ascii="Times New Roman" w:hAnsi="Times New Roman" w:cs="Times New Roman"/>
          <w:sz w:val="24"/>
          <w:szCs w:val="24"/>
        </w:rPr>
        <w:t xml:space="preserve">recommend that mandatory licensing is extended to </w:t>
      </w:r>
      <w:r w:rsidR="00BE2C75">
        <w:rPr>
          <w:rFonts w:ascii="Times New Roman" w:hAnsi="Times New Roman" w:cs="Times New Roman"/>
          <w:sz w:val="24"/>
          <w:szCs w:val="24"/>
        </w:rPr>
        <w:t xml:space="preserve">purpose built </w:t>
      </w:r>
      <w:r w:rsidR="00964323">
        <w:rPr>
          <w:rFonts w:ascii="Times New Roman" w:hAnsi="Times New Roman" w:cs="Times New Roman"/>
          <w:sz w:val="24"/>
          <w:szCs w:val="24"/>
        </w:rPr>
        <w:t xml:space="preserve">blocks containing </w:t>
      </w:r>
      <w:r w:rsidR="00BE2C75">
        <w:rPr>
          <w:rFonts w:ascii="Times New Roman" w:hAnsi="Times New Roman" w:cs="Times New Roman"/>
          <w:sz w:val="24"/>
          <w:szCs w:val="24"/>
        </w:rPr>
        <w:t>more than 1 or 2 flats.</w:t>
      </w:r>
    </w:p>
    <w:p w14:paraId="303EABE7" w14:textId="77777777" w:rsidR="00BE2C75" w:rsidRDefault="00BE2C75" w:rsidP="00BE2C75">
      <w:pPr>
        <w:pStyle w:val="ListParagraph"/>
        <w:spacing w:line="360" w:lineRule="auto"/>
        <w:ind w:left="360"/>
        <w:jc w:val="both"/>
        <w:rPr>
          <w:rFonts w:ascii="Times New Roman" w:hAnsi="Times New Roman" w:cs="Times New Roman"/>
          <w:sz w:val="24"/>
          <w:szCs w:val="24"/>
        </w:rPr>
      </w:pPr>
    </w:p>
    <w:p w14:paraId="58EA5152" w14:textId="4A19A383" w:rsidR="00BE2C75" w:rsidRDefault="00BE2C75" w:rsidP="00C328D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Question 3</w:t>
      </w:r>
      <w:r>
        <w:rPr>
          <w:rFonts w:ascii="Times New Roman" w:hAnsi="Times New Roman" w:cs="Times New Roman"/>
          <w:sz w:val="24"/>
          <w:szCs w:val="24"/>
        </w:rPr>
        <w:t>: HLPA do not consider that the different rules that apply in relation to the mandatory licensing of flats in purpose built blocks and converted premises are set out sufficiently clearly.  HLPA repeat their answer to Question 1</w:t>
      </w:r>
      <w:r w:rsidRPr="00BE2C75">
        <w:rPr>
          <w:rFonts w:ascii="Times New Roman" w:hAnsi="Times New Roman" w:cs="Times New Roman"/>
          <w:sz w:val="24"/>
          <w:szCs w:val="24"/>
        </w:rPr>
        <w:t xml:space="preserve"> </w:t>
      </w:r>
      <w:r>
        <w:rPr>
          <w:rFonts w:ascii="Times New Roman" w:hAnsi="Times New Roman" w:cs="Times New Roman"/>
          <w:sz w:val="24"/>
          <w:szCs w:val="24"/>
        </w:rPr>
        <w:t xml:space="preserve">as to when a self-contained flat will be an HMO subject to mandatory licensing and the need to define </w:t>
      </w:r>
      <w:r>
        <w:rPr>
          <w:rFonts w:ascii="Times New Roman" w:hAnsi="Times New Roman" w:cs="Times New Roman"/>
          <w:i/>
          <w:sz w:val="24"/>
          <w:szCs w:val="24"/>
        </w:rPr>
        <w:t>“purpose built”</w:t>
      </w:r>
      <w:r>
        <w:rPr>
          <w:rFonts w:ascii="Times New Roman" w:hAnsi="Times New Roman" w:cs="Times New Roman"/>
          <w:sz w:val="24"/>
          <w:szCs w:val="24"/>
        </w:rPr>
        <w:t xml:space="preserve">.  HLPA consider that the reference at paragraph 12 to flats </w:t>
      </w:r>
      <w:r>
        <w:rPr>
          <w:rFonts w:ascii="Times New Roman" w:hAnsi="Times New Roman" w:cs="Times New Roman"/>
          <w:i/>
          <w:sz w:val="24"/>
          <w:szCs w:val="24"/>
        </w:rPr>
        <w:t>“above commercial premises”</w:t>
      </w:r>
      <w:r>
        <w:rPr>
          <w:rFonts w:ascii="Times New Roman" w:hAnsi="Times New Roman" w:cs="Times New Roman"/>
          <w:sz w:val="24"/>
          <w:szCs w:val="24"/>
        </w:rPr>
        <w:t xml:space="preserve"> in </w:t>
      </w:r>
      <w:r>
        <w:rPr>
          <w:rFonts w:ascii="Times New Roman" w:hAnsi="Times New Roman" w:cs="Times New Roman"/>
          <w:i/>
          <w:sz w:val="24"/>
          <w:szCs w:val="24"/>
        </w:rPr>
        <w:t xml:space="preserve">“a purpose built block comprising </w:t>
      </w:r>
      <w:r>
        <w:rPr>
          <w:rFonts w:ascii="Times New Roman" w:hAnsi="Times New Roman" w:cs="Times New Roman"/>
          <w:i/>
          <w:sz w:val="24"/>
          <w:szCs w:val="24"/>
          <w:u w:val="single"/>
        </w:rPr>
        <w:t>entirely</w:t>
      </w:r>
      <w:r>
        <w:rPr>
          <w:rFonts w:ascii="Times New Roman" w:hAnsi="Times New Roman" w:cs="Times New Roman"/>
          <w:i/>
          <w:sz w:val="24"/>
          <w:szCs w:val="24"/>
        </w:rPr>
        <w:t xml:space="preserve"> of self-contained flats”</w:t>
      </w:r>
      <w:r>
        <w:rPr>
          <w:rFonts w:ascii="Times New Roman" w:hAnsi="Times New Roman" w:cs="Times New Roman"/>
          <w:sz w:val="24"/>
          <w:szCs w:val="24"/>
        </w:rPr>
        <w:t xml:space="preserve"> to be confusing: it is unclear how a flat could</w:t>
      </w:r>
      <w:r w:rsidR="00D81021">
        <w:rPr>
          <w:rFonts w:ascii="Times New Roman" w:hAnsi="Times New Roman" w:cs="Times New Roman"/>
          <w:sz w:val="24"/>
          <w:szCs w:val="24"/>
        </w:rPr>
        <w:t xml:space="preserve"> at the same time</w:t>
      </w:r>
      <w:r>
        <w:rPr>
          <w:rFonts w:ascii="Times New Roman" w:hAnsi="Times New Roman" w:cs="Times New Roman"/>
          <w:sz w:val="24"/>
          <w:szCs w:val="24"/>
        </w:rPr>
        <w:t xml:space="preserve"> be located in a block comprising entirely of self-contained flats and </w:t>
      </w:r>
      <w:r w:rsidR="00D81021">
        <w:rPr>
          <w:rFonts w:ascii="Times New Roman" w:hAnsi="Times New Roman" w:cs="Times New Roman"/>
          <w:sz w:val="24"/>
          <w:szCs w:val="24"/>
        </w:rPr>
        <w:t xml:space="preserve">also </w:t>
      </w:r>
      <w:r>
        <w:rPr>
          <w:rFonts w:ascii="Times New Roman" w:hAnsi="Times New Roman" w:cs="Times New Roman"/>
          <w:sz w:val="24"/>
          <w:szCs w:val="24"/>
        </w:rPr>
        <w:t>above commercial premises.</w:t>
      </w:r>
      <w:r w:rsidR="00D81021">
        <w:rPr>
          <w:rFonts w:ascii="Times New Roman" w:hAnsi="Times New Roman" w:cs="Times New Roman"/>
          <w:sz w:val="24"/>
          <w:szCs w:val="24"/>
        </w:rPr>
        <w:t xml:space="preserve">  HLPA consider there to be possible conflict between the rules: for example, it is unclear what the licensing regime will be </w:t>
      </w:r>
      <w:r w:rsidR="00D81021">
        <w:rPr>
          <w:rFonts w:ascii="Times New Roman" w:hAnsi="Times New Roman" w:cs="Times New Roman"/>
          <w:sz w:val="24"/>
          <w:szCs w:val="24"/>
        </w:rPr>
        <w:lastRenderedPageBreak/>
        <w:t>where, for example, a building includes commercial premises, and an HMO which is not a self-contained flat, and also three or more self-contained flats.  HLPA do not consider that the rules are clear even after considering Annex A and consider that the rules require further clarification.</w:t>
      </w:r>
    </w:p>
    <w:p w14:paraId="347CB880" w14:textId="77777777" w:rsidR="00D81021" w:rsidRDefault="00D81021" w:rsidP="00D81021">
      <w:pPr>
        <w:pStyle w:val="ListParagraph"/>
        <w:spacing w:line="360" w:lineRule="auto"/>
        <w:ind w:left="360"/>
        <w:jc w:val="both"/>
        <w:rPr>
          <w:rFonts w:ascii="Times New Roman" w:hAnsi="Times New Roman" w:cs="Times New Roman"/>
          <w:sz w:val="24"/>
          <w:szCs w:val="24"/>
        </w:rPr>
      </w:pPr>
    </w:p>
    <w:p w14:paraId="4A1F0B71" w14:textId="05DEED8C" w:rsidR="00D81021" w:rsidRDefault="00D81021" w:rsidP="00C328D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Question 4</w:t>
      </w:r>
      <w:r>
        <w:rPr>
          <w:rFonts w:ascii="Times New Roman" w:hAnsi="Times New Roman" w:cs="Times New Roman"/>
          <w:sz w:val="24"/>
          <w:szCs w:val="24"/>
        </w:rPr>
        <w:t xml:space="preserve">: HLPA </w:t>
      </w:r>
      <w:r w:rsidR="008A72BF">
        <w:rPr>
          <w:rFonts w:ascii="Times New Roman" w:hAnsi="Times New Roman" w:cs="Times New Roman"/>
          <w:sz w:val="24"/>
          <w:szCs w:val="24"/>
        </w:rPr>
        <w:t>agree with this proposal.</w:t>
      </w:r>
    </w:p>
    <w:p w14:paraId="3E251053" w14:textId="77777777" w:rsidR="00D81021" w:rsidRDefault="00D81021" w:rsidP="00D81021">
      <w:pPr>
        <w:pStyle w:val="ListParagraph"/>
        <w:spacing w:line="360" w:lineRule="auto"/>
        <w:ind w:left="360"/>
        <w:jc w:val="both"/>
        <w:rPr>
          <w:rFonts w:ascii="Times New Roman" w:hAnsi="Times New Roman" w:cs="Times New Roman"/>
          <w:sz w:val="24"/>
          <w:szCs w:val="24"/>
        </w:rPr>
      </w:pPr>
    </w:p>
    <w:p w14:paraId="54A2B726" w14:textId="07379AB6" w:rsidR="00D81021" w:rsidRDefault="00D81021" w:rsidP="00C328D2">
      <w:pPr>
        <w:pStyle w:val="ListParagraph"/>
        <w:numPr>
          <w:ilvl w:val="0"/>
          <w:numId w:val="1"/>
        </w:numPr>
        <w:spacing w:line="360" w:lineRule="auto"/>
        <w:jc w:val="both"/>
        <w:rPr>
          <w:rFonts w:ascii="Times New Roman" w:hAnsi="Times New Roman" w:cs="Times New Roman"/>
          <w:sz w:val="24"/>
          <w:szCs w:val="24"/>
        </w:rPr>
      </w:pPr>
      <w:r w:rsidRPr="00D81021">
        <w:rPr>
          <w:rFonts w:ascii="Times New Roman" w:hAnsi="Times New Roman" w:cs="Times New Roman"/>
          <w:sz w:val="24"/>
          <w:szCs w:val="24"/>
          <w:u w:val="single"/>
        </w:rPr>
        <w:t>Question</w:t>
      </w:r>
      <w:r>
        <w:rPr>
          <w:rFonts w:ascii="Times New Roman" w:hAnsi="Times New Roman" w:cs="Times New Roman"/>
          <w:sz w:val="24"/>
          <w:szCs w:val="24"/>
          <w:u w:val="single"/>
        </w:rPr>
        <w:t xml:space="preserve"> 5</w:t>
      </w:r>
      <w:r>
        <w:rPr>
          <w:rFonts w:ascii="Times New Roman" w:hAnsi="Times New Roman" w:cs="Times New Roman"/>
          <w:sz w:val="24"/>
          <w:szCs w:val="24"/>
        </w:rPr>
        <w:t xml:space="preserve">: HLPA </w:t>
      </w:r>
      <w:r w:rsidR="008A72BF">
        <w:rPr>
          <w:rFonts w:ascii="Times New Roman" w:hAnsi="Times New Roman" w:cs="Times New Roman"/>
          <w:sz w:val="24"/>
          <w:szCs w:val="24"/>
        </w:rPr>
        <w:t>agree with this proposal.</w:t>
      </w:r>
    </w:p>
    <w:p w14:paraId="00383F02" w14:textId="77777777" w:rsidR="00D81021" w:rsidRDefault="00D81021" w:rsidP="00D81021">
      <w:pPr>
        <w:pStyle w:val="ListParagraph"/>
        <w:spacing w:line="360" w:lineRule="auto"/>
        <w:ind w:left="360"/>
        <w:jc w:val="both"/>
        <w:rPr>
          <w:rFonts w:ascii="Times New Roman" w:hAnsi="Times New Roman" w:cs="Times New Roman"/>
          <w:sz w:val="24"/>
          <w:szCs w:val="24"/>
        </w:rPr>
      </w:pPr>
    </w:p>
    <w:p w14:paraId="76CD0AB3" w14:textId="307F7357" w:rsidR="00D81021" w:rsidRDefault="00D81021" w:rsidP="00C328D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Question 6</w:t>
      </w:r>
      <w:r>
        <w:rPr>
          <w:rFonts w:ascii="Times New Roman" w:hAnsi="Times New Roman" w:cs="Times New Roman"/>
          <w:sz w:val="24"/>
          <w:szCs w:val="24"/>
        </w:rPr>
        <w:t xml:space="preserve">: </w:t>
      </w:r>
      <w:r w:rsidR="005976C0">
        <w:rPr>
          <w:rFonts w:ascii="Times New Roman" w:hAnsi="Times New Roman" w:cs="Times New Roman"/>
          <w:sz w:val="24"/>
          <w:szCs w:val="24"/>
        </w:rPr>
        <w:t>HLPA do not consider that they can answer this question, which appears to be aimed at the practice of local authorities.</w:t>
      </w:r>
    </w:p>
    <w:p w14:paraId="69F4160F" w14:textId="77777777" w:rsidR="005976C0" w:rsidRDefault="005976C0" w:rsidP="005976C0">
      <w:pPr>
        <w:pStyle w:val="ListParagraph"/>
        <w:spacing w:line="360" w:lineRule="auto"/>
        <w:ind w:left="360"/>
        <w:jc w:val="both"/>
        <w:rPr>
          <w:rFonts w:ascii="Times New Roman" w:hAnsi="Times New Roman" w:cs="Times New Roman"/>
          <w:sz w:val="24"/>
          <w:szCs w:val="24"/>
        </w:rPr>
      </w:pPr>
    </w:p>
    <w:p w14:paraId="7AE4A449" w14:textId="0696C137" w:rsidR="005976C0" w:rsidRDefault="005976C0" w:rsidP="00C328D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Question 7</w:t>
      </w:r>
      <w:r>
        <w:rPr>
          <w:rFonts w:ascii="Times New Roman" w:hAnsi="Times New Roman" w:cs="Times New Roman"/>
          <w:sz w:val="24"/>
          <w:szCs w:val="24"/>
        </w:rPr>
        <w:t xml:space="preserve">: HLPA </w:t>
      </w:r>
      <w:r w:rsidR="008A72BF">
        <w:rPr>
          <w:rFonts w:ascii="Times New Roman" w:hAnsi="Times New Roman" w:cs="Times New Roman"/>
          <w:sz w:val="24"/>
          <w:szCs w:val="24"/>
        </w:rPr>
        <w:t>agree with this proposal.</w:t>
      </w:r>
    </w:p>
    <w:p w14:paraId="4869CC1A" w14:textId="77777777" w:rsidR="005976C0" w:rsidRDefault="005976C0" w:rsidP="005976C0">
      <w:pPr>
        <w:pStyle w:val="ListParagraph"/>
        <w:spacing w:line="360" w:lineRule="auto"/>
        <w:ind w:left="360"/>
        <w:jc w:val="both"/>
        <w:rPr>
          <w:rFonts w:ascii="Times New Roman" w:hAnsi="Times New Roman" w:cs="Times New Roman"/>
          <w:sz w:val="24"/>
          <w:szCs w:val="24"/>
        </w:rPr>
      </w:pPr>
    </w:p>
    <w:p w14:paraId="53FF3B54" w14:textId="37C45B8D" w:rsidR="005976C0" w:rsidRDefault="005976C0" w:rsidP="00C328D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Question 8</w:t>
      </w:r>
      <w:r>
        <w:rPr>
          <w:rFonts w:ascii="Times New Roman" w:hAnsi="Times New Roman" w:cs="Times New Roman"/>
          <w:sz w:val="24"/>
          <w:szCs w:val="24"/>
        </w:rPr>
        <w:t>: HLPA consider that the transitional arrangements for HMOs that are already licensed, or which ought to have been licensed, are clear and appropriate.</w:t>
      </w:r>
    </w:p>
    <w:p w14:paraId="307A80CE" w14:textId="77777777" w:rsidR="005976C0" w:rsidRDefault="005976C0" w:rsidP="005976C0">
      <w:pPr>
        <w:pStyle w:val="ListParagraph"/>
        <w:spacing w:line="360" w:lineRule="auto"/>
        <w:ind w:left="360"/>
        <w:jc w:val="both"/>
        <w:rPr>
          <w:rFonts w:ascii="Times New Roman" w:hAnsi="Times New Roman" w:cs="Times New Roman"/>
          <w:sz w:val="24"/>
          <w:szCs w:val="24"/>
        </w:rPr>
      </w:pPr>
    </w:p>
    <w:p w14:paraId="154FF706" w14:textId="326C0F19" w:rsidR="005976C0" w:rsidRDefault="005976C0" w:rsidP="00C328D2">
      <w:pPr>
        <w:pStyle w:val="ListParagraph"/>
        <w:numPr>
          <w:ilvl w:val="0"/>
          <w:numId w:val="1"/>
        </w:numPr>
        <w:spacing w:line="360" w:lineRule="auto"/>
        <w:jc w:val="both"/>
        <w:rPr>
          <w:rFonts w:ascii="Times New Roman" w:hAnsi="Times New Roman" w:cs="Times New Roman"/>
          <w:sz w:val="24"/>
          <w:szCs w:val="24"/>
        </w:rPr>
      </w:pPr>
      <w:r w:rsidRPr="005976C0">
        <w:rPr>
          <w:rFonts w:ascii="Times New Roman" w:hAnsi="Times New Roman" w:cs="Times New Roman"/>
          <w:sz w:val="24"/>
          <w:szCs w:val="24"/>
          <w:u w:val="single"/>
        </w:rPr>
        <w:t>Quest</w:t>
      </w:r>
      <w:r>
        <w:rPr>
          <w:rFonts w:ascii="Times New Roman" w:hAnsi="Times New Roman" w:cs="Times New Roman"/>
          <w:sz w:val="24"/>
          <w:szCs w:val="24"/>
          <w:u w:val="single"/>
        </w:rPr>
        <w:t>ion 9</w:t>
      </w:r>
      <w:r>
        <w:rPr>
          <w:rFonts w:ascii="Times New Roman" w:hAnsi="Times New Roman" w:cs="Times New Roman"/>
          <w:sz w:val="24"/>
          <w:szCs w:val="24"/>
        </w:rPr>
        <w:t>: HLPA agree that persons with protected characteristics are more likely to live in HMOS than in the wider private rented sector.  This is because persons with protected characteristics are among the most vulnerable in society by reason of, for example, disability, old age, pregnancy, being of a particular sexual orientation, having undergone gender reassignment, or being a member of an ethnic minority.  These people face direct and indirect discrimination which makes it harder for them to obtain accommodation, both directly (through discrimination from landlords and letting agents) and indirectly (through, for example, being at a disadvantage in the job market or through struggling to claim welfare benefits).  They are therefore more likely to be forced to resort to less satisfactory housing, including HMOs, and to be vulnerable to exploitation by rogue landlords.</w:t>
      </w:r>
    </w:p>
    <w:p w14:paraId="7EC5E422" w14:textId="77777777" w:rsidR="005976C0" w:rsidRDefault="005976C0" w:rsidP="005976C0">
      <w:pPr>
        <w:pStyle w:val="ListParagraph"/>
        <w:spacing w:line="360" w:lineRule="auto"/>
        <w:ind w:left="360"/>
        <w:jc w:val="both"/>
        <w:rPr>
          <w:rFonts w:ascii="Times New Roman" w:hAnsi="Times New Roman" w:cs="Times New Roman"/>
          <w:sz w:val="24"/>
          <w:szCs w:val="24"/>
        </w:rPr>
      </w:pPr>
    </w:p>
    <w:p w14:paraId="46B89655" w14:textId="532F97BB" w:rsidR="005976C0" w:rsidRDefault="005976C0" w:rsidP="00252893">
      <w:pPr>
        <w:pStyle w:val="ListParagraph"/>
        <w:numPr>
          <w:ilvl w:val="0"/>
          <w:numId w:val="1"/>
        </w:numPr>
        <w:spacing w:line="360" w:lineRule="auto"/>
        <w:jc w:val="both"/>
        <w:rPr>
          <w:rFonts w:ascii="Times New Roman" w:hAnsi="Times New Roman" w:cs="Times New Roman"/>
          <w:sz w:val="24"/>
          <w:szCs w:val="24"/>
        </w:rPr>
      </w:pPr>
      <w:r w:rsidRPr="005976C0">
        <w:rPr>
          <w:rFonts w:ascii="Times New Roman" w:hAnsi="Times New Roman" w:cs="Times New Roman"/>
          <w:sz w:val="24"/>
          <w:szCs w:val="24"/>
          <w:u w:val="single"/>
        </w:rPr>
        <w:t>Question</w:t>
      </w:r>
      <w:r>
        <w:rPr>
          <w:rFonts w:ascii="Times New Roman" w:hAnsi="Times New Roman" w:cs="Times New Roman"/>
          <w:sz w:val="24"/>
          <w:szCs w:val="24"/>
          <w:u w:val="single"/>
        </w:rPr>
        <w:t xml:space="preserve"> 10</w:t>
      </w:r>
      <w:r>
        <w:rPr>
          <w:rFonts w:ascii="Times New Roman" w:hAnsi="Times New Roman" w:cs="Times New Roman"/>
          <w:sz w:val="24"/>
          <w:szCs w:val="24"/>
        </w:rPr>
        <w:t xml:space="preserve">: HLPA believe that extending the scope of mandatory licensing will impact on persons sharing protected characteristics because such persons are more likely to be in accommodation affected by the proposed changes.  Whilst HLPA are concerned that the proposed changes may force such people further “underground”, on balance HLPA believe that the impact will be broadly positive rather than negative, leading as it should do to greater regulation and thus better conditions in these properties.  </w:t>
      </w:r>
      <w:r w:rsidR="00252893">
        <w:rPr>
          <w:rFonts w:ascii="Times New Roman" w:hAnsi="Times New Roman" w:cs="Times New Roman"/>
          <w:sz w:val="24"/>
          <w:szCs w:val="24"/>
        </w:rPr>
        <w:t xml:space="preserve">HLPA presume in addition </w:t>
      </w:r>
      <w:r w:rsidR="00252893">
        <w:rPr>
          <w:rFonts w:ascii="Times New Roman" w:hAnsi="Times New Roman" w:cs="Times New Roman"/>
          <w:sz w:val="24"/>
          <w:szCs w:val="24"/>
        </w:rPr>
        <w:lastRenderedPageBreak/>
        <w:t>that the prohibition on serving a notice under section 21 of the Housing Act 1988 will apply to properties subject to the expanded licensing regime</w:t>
      </w:r>
      <w:r w:rsidR="00F87D32">
        <w:rPr>
          <w:rFonts w:ascii="Times New Roman" w:hAnsi="Times New Roman" w:cs="Times New Roman"/>
          <w:sz w:val="24"/>
          <w:szCs w:val="24"/>
        </w:rPr>
        <w:t xml:space="preserve"> which are not licensed</w:t>
      </w:r>
      <w:r w:rsidR="00252893">
        <w:rPr>
          <w:rFonts w:ascii="Times New Roman" w:hAnsi="Times New Roman" w:cs="Times New Roman"/>
          <w:sz w:val="24"/>
          <w:szCs w:val="24"/>
        </w:rPr>
        <w:t xml:space="preserve"> and believe that this offers vulnerable tenants more protection.  </w:t>
      </w:r>
      <w:r>
        <w:rPr>
          <w:rFonts w:ascii="Times New Roman" w:hAnsi="Times New Roman" w:cs="Times New Roman"/>
          <w:sz w:val="24"/>
          <w:szCs w:val="24"/>
        </w:rPr>
        <w:t xml:space="preserve">However, HLPA are concerned </w:t>
      </w:r>
      <w:r w:rsidR="00F87D32">
        <w:rPr>
          <w:rFonts w:ascii="Times New Roman" w:hAnsi="Times New Roman" w:cs="Times New Roman"/>
          <w:sz w:val="24"/>
          <w:szCs w:val="24"/>
        </w:rPr>
        <w:t>as to whether</w:t>
      </w:r>
      <w:r>
        <w:rPr>
          <w:rFonts w:ascii="Times New Roman" w:hAnsi="Times New Roman" w:cs="Times New Roman"/>
          <w:sz w:val="24"/>
          <w:szCs w:val="24"/>
        </w:rPr>
        <w:t xml:space="preserve"> </w:t>
      </w:r>
      <w:r w:rsidR="00252893">
        <w:rPr>
          <w:rFonts w:ascii="Times New Roman" w:hAnsi="Times New Roman" w:cs="Times New Roman"/>
          <w:sz w:val="24"/>
          <w:szCs w:val="24"/>
        </w:rPr>
        <w:t xml:space="preserve">sufficient resources will be made available to monitor and enforce the expanded licensing regime.  HLPA note that the proposals are aimed at </w:t>
      </w:r>
      <w:r w:rsidR="00252893">
        <w:rPr>
          <w:rFonts w:ascii="Times New Roman" w:hAnsi="Times New Roman" w:cs="Times New Roman"/>
          <w:i/>
          <w:sz w:val="24"/>
          <w:szCs w:val="24"/>
        </w:rPr>
        <w:t>“rogue landlords”</w:t>
      </w:r>
      <w:r w:rsidR="00252893">
        <w:rPr>
          <w:rFonts w:ascii="Times New Roman" w:hAnsi="Times New Roman" w:cs="Times New Roman"/>
          <w:sz w:val="24"/>
          <w:szCs w:val="24"/>
        </w:rPr>
        <w:t xml:space="preserve">.  Given that the changes are targeted at landlords who are already breaking the law (or, at least, showing disregard for their tenants’ safety and wellbeing) then it appears highly likely that such </w:t>
      </w:r>
      <w:r w:rsidR="00252893">
        <w:rPr>
          <w:rFonts w:ascii="Times New Roman" w:hAnsi="Times New Roman" w:cs="Times New Roman"/>
          <w:i/>
          <w:sz w:val="24"/>
          <w:szCs w:val="24"/>
        </w:rPr>
        <w:t>“rogue landlords”</w:t>
      </w:r>
      <w:r w:rsidR="00252893">
        <w:rPr>
          <w:rFonts w:ascii="Times New Roman" w:hAnsi="Times New Roman" w:cs="Times New Roman"/>
          <w:sz w:val="24"/>
          <w:szCs w:val="24"/>
        </w:rPr>
        <w:t xml:space="preserve"> will continue to thwart an expanded licensing regime.  It is important that the resources are available to enforce it properly.  HLPA also oppose the suggestion that tenants will remain liable to pay rent during any period in which the HMO is unlicensed, which is different from the existing regime.  There does not appear to be any reason for this distinction and it operates to the advantage of law-breaking landlords and to the disadvantage of very vulnerable members of society.</w:t>
      </w:r>
    </w:p>
    <w:p w14:paraId="29269907" w14:textId="77777777" w:rsidR="004D5AFD" w:rsidRDefault="004D5AFD" w:rsidP="004D5AFD">
      <w:pPr>
        <w:pStyle w:val="ListParagraph"/>
        <w:spacing w:line="360" w:lineRule="auto"/>
        <w:ind w:left="360"/>
        <w:jc w:val="both"/>
        <w:rPr>
          <w:rFonts w:ascii="Times New Roman" w:hAnsi="Times New Roman" w:cs="Times New Roman"/>
          <w:sz w:val="24"/>
          <w:szCs w:val="24"/>
        </w:rPr>
      </w:pPr>
    </w:p>
    <w:p w14:paraId="7A085154" w14:textId="1531D05D" w:rsidR="00252893" w:rsidRPr="00252893" w:rsidRDefault="00252893" w:rsidP="00252893">
      <w:pPr>
        <w:spacing w:line="360" w:lineRule="auto"/>
        <w:jc w:val="both"/>
        <w:rPr>
          <w:rFonts w:ascii="Times New Roman" w:hAnsi="Times New Roman" w:cs="Times New Roman"/>
          <w:sz w:val="24"/>
          <w:szCs w:val="24"/>
        </w:rPr>
      </w:pPr>
      <w:r w:rsidRPr="004D5AFD">
        <w:rPr>
          <w:rFonts w:ascii="Times New Roman" w:hAnsi="Times New Roman" w:cs="Times New Roman"/>
          <w:i/>
          <w:sz w:val="24"/>
          <w:szCs w:val="24"/>
        </w:rPr>
        <w:t>National minimum room size</w:t>
      </w:r>
    </w:p>
    <w:p w14:paraId="115E8ED0" w14:textId="77777777" w:rsidR="00733E31" w:rsidRDefault="00252893" w:rsidP="002528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Question 11</w:t>
      </w:r>
      <w:r>
        <w:rPr>
          <w:rFonts w:ascii="Times New Roman" w:hAnsi="Times New Roman" w:cs="Times New Roman"/>
          <w:sz w:val="24"/>
          <w:szCs w:val="24"/>
        </w:rPr>
        <w:t>: HLPA agree that the regulations should only apply to rooms occupied by one or two persons.  This is in accordance with the definitions of overcrowding at Part 10 of the Housing Act 1985, which do not envisage more than 2 adults sharing a room.</w:t>
      </w:r>
    </w:p>
    <w:p w14:paraId="27A3A0ED" w14:textId="77777777" w:rsidR="00733E31" w:rsidRDefault="00733E31" w:rsidP="00733E31">
      <w:pPr>
        <w:pStyle w:val="ListParagraph"/>
        <w:spacing w:line="360" w:lineRule="auto"/>
        <w:ind w:left="360"/>
        <w:jc w:val="both"/>
        <w:rPr>
          <w:rFonts w:ascii="Times New Roman" w:hAnsi="Times New Roman" w:cs="Times New Roman"/>
          <w:sz w:val="24"/>
          <w:szCs w:val="24"/>
        </w:rPr>
      </w:pPr>
    </w:p>
    <w:p w14:paraId="6D769A3F" w14:textId="7930B9E3" w:rsidR="00252893" w:rsidRDefault="00733E31" w:rsidP="002528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Question 12</w:t>
      </w:r>
      <w:r>
        <w:rPr>
          <w:rFonts w:ascii="Times New Roman" w:hAnsi="Times New Roman" w:cs="Times New Roman"/>
          <w:sz w:val="24"/>
          <w:szCs w:val="24"/>
        </w:rPr>
        <w:t>:</w:t>
      </w:r>
      <w:r w:rsidR="00252893">
        <w:rPr>
          <w:rFonts w:ascii="Times New Roman" w:hAnsi="Times New Roman" w:cs="Times New Roman"/>
          <w:sz w:val="24"/>
          <w:szCs w:val="24"/>
        </w:rPr>
        <w:t xml:space="preserve"> </w:t>
      </w:r>
      <w:r>
        <w:rPr>
          <w:rFonts w:ascii="Times New Roman" w:hAnsi="Times New Roman" w:cs="Times New Roman"/>
          <w:sz w:val="24"/>
          <w:szCs w:val="24"/>
        </w:rPr>
        <w:t>HLPA do not agree that</w:t>
      </w:r>
      <w:r w:rsidR="00F87D32">
        <w:rPr>
          <w:rFonts w:ascii="Times New Roman" w:hAnsi="Times New Roman" w:cs="Times New Roman"/>
          <w:sz w:val="24"/>
          <w:szCs w:val="24"/>
        </w:rPr>
        <w:t xml:space="preserve"> there should be no difference in how</w:t>
      </w:r>
      <w:r>
        <w:rPr>
          <w:rFonts w:ascii="Times New Roman" w:hAnsi="Times New Roman" w:cs="Times New Roman"/>
          <w:sz w:val="24"/>
          <w:szCs w:val="24"/>
        </w:rPr>
        <w:t xml:space="preserve"> children and adults </w:t>
      </w:r>
      <w:r w:rsidR="00F87D32">
        <w:rPr>
          <w:rFonts w:ascii="Times New Roman" w:hAnsi="Times New Roman" w:cs="Times New Roman"/>
          <w:sz w:val="24"/>
          <w:szCs w:val="24"/>
        </w:rPr>
        <w:t>are</w:t>
      </w:r>
      <w:r>
        <w:rPr>
          <w:rFonts w:ascii="Times New Roman" w:hAnsi="Times New Roman" w:cs="Times New Roman"/>
          <w:sz w:val="24"/>
          <w:szCs w:val="24"/>
        </w:rPr>
        <w:t xml:space="preserve"> counted for the purpose of the room size condition.  This is for the reasons identified at paragraphs 36 to 39 of the consultation paper, namely that this could lead to the occupation of accommodation by parents with their baby or young child to be a breach of the licensing offence.  HLPA are concerned about this because it could lead to the eviction of these vulnerable families.</w:t>
      </w:r>
    </w:p>
    <w:p w14:paraId="5B9E6007" w14:textId="77777777" w:rsidR="00733E31" w:rsidRDefault="00733E31" w:rsidP="00733E31">
      <w:pPr>
        <w:pStyle w:val="ListParagraph"/>
        <w:spacing w:line="360" w:lineRule="auto"/>
        <w:ind w:left="360"/>
        <w:jc w:val="both"/>
        <w:rPr>
          <w:rFonts w:ascii="Times New Roman" w:hAnsi="Times New Roman" w:cs="Times New Roman"/>
          <w:sz w:val="24"/>
          <w:szCs w:val="24"/>
        </w:rPr>
      </w:pPr>
    </w:p>
    <w:p w14:paraId="1641078B" w14:textId="2D88E639" w:rsidR="00733E31" w:rsidRDefault="00733E31" w:rsidP="002528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Question 13</w:t>
      </w:r>
      <w:r>
        <w:rPr>
          <w:rFonts w:ascii="Times New Roman" w:hAnsi="Times New Roman" w:cs="Times New Roman"/>
          <w:sz w:val="24"/>
          <w:szCs w:val="24"/>
        </w:rPr>
        <w:t xml:space="preserve">: HLPA consider that an approach analogous to the overcrowding standards in Part 10 of the Housing Act 1985 could be adopted.  Whilst HLPA have serious doubts as to the appropriateness of those standards in a modern society, HLPA are concerned that the approach currently proposed could lead to the eviction of young families whose occupation is not, currently, an offence under the Housing Act 1985.  </w:t>
      </w:r>
    </w:p>
    <w:p w14:paraId="77F4F158" w14:textId="77777777" w:rsidR="00733E31" w:rsidRDefault="00733E31" w:rsidP="00733E31">
      <w:pPr>
        <w:pStyle w:val="ListParagraph"/>
        <w:spacing w:line="360" w:lineRule="auto"/>
        <w:ind w:left="360"/>
        <w:jc w:val="both"/>
        <w:rPr>
          <w:rFonts w:ascii="Times New Roman" w:hAnsi="Times New Roman" w:cs="Times New Roman"/>
          <w:sz w:val="24"/>
          <w:szCs w:val="24"/>
        </w:rPr>
      </w:pPr>
    </w:p>
    <w:p w14:paraId="35C6FA9B" w14:textId="501814D5" w:rsidR="00733E31" w:rsidRDefault="00733E31" w:rsidP="002528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Question 14</w:t>
      </w:r>
      <w:r>
        <w:rPr>
          <w:rFonts w:ascii="Times New Roman" w:hAnsi="Times New Roman" w:cs="Times New Roman"/>
          <w:sz w:val="24"/>
          <w:szCs w:val="24"/>
        </w:rPr>
        <w:t>: HLPA do not consider that they are able to assist with this question.</w:t>
      </w:r>
    </w:p>
    <w:p w14:paraId="42C49204" w14:textId="77777777" w:rsidR="00733E31" w:rsidRDefault="00733E31" w:rsidP="00733E31">
      <w:pPr>
        <w:pStyle w:val="ListParagraph"/>
        <w:spacing w:line="360" w:lineRule="auto"/>
        <w:ind w:left="360"/>
        <w:jc w:val="both"/>
        <w:rPr>
          <w:rFonts w:ascii="Times New Roman" w:hAnsi="Times New Roman" w:cs="Times New Roman"/>
          <w:sz w:val="24"/>
          <w:szCs w:val="24"/>
        </w:rPr>
      </w:pPr>
    </w:p>
    <w:p w14:paraId="2A45BAB2" w14:textId="5D582762" w:rsidR="00733E31" w:rsidRDefault="00733E31" w:rsidP="002528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Question 15</w:t>
      </w:r>
      <w:r>
        <w:rPr>
          <w:rFonts w:ascii="Times New Roman" w:hAnsi="Times New Roman" w:cs="Times New Roman"/>
          <w:sz w:val="24"/>
          <w:szCs w:val="24"/>
        </w:rPr>
        <w:t xml:space="preserve">: HLPA do not consider that 1.5 metres is a sufficient minimum floor to ceiling height.  HLPA note that in the Department for Communities and Local Government </w:t>
      </w:r>
      <w:r>
        <w:rPr>
          <w:rFonts w:ascii="Times New Roman" w:hAnsi="Times New Roman" w:cs="Times New Roman"/>
          <w:i/>
          <w:sz w:val="24"/>
          <w:szCs w:val="24"/>
        </w:rPr>
        <w:t>Technical housing standards – nationally described safe standard</w:t>
      </w:r>
      <w:r w:rsidR="00F87D32">
        <w:rPr>
          <w:rFonts w:ascii="Times New Roman" w:hAnsi="Times New Roman" w:cs="Times New Roman"/>
          <w:sz w:val="24"/>
          <w:szCs w:val="24"/>
        </w:rPr>
        <w:t>,</w:t>
      </w:r>
      <w:r>
        <w:rPr>
          <w:rFonts w:ascii="Times New Roman" w:hAnsi="Times New Roman" w:cs="Times New Roman"/>
          <w:sz w:val="24"/>
          <w:szCs w:val="24"/>
        </w:rPr>
        <w:t xml:space="preserve"> the standard requires a minimum floor to ceiling height of 2.3m for at least 75% of the gross internal area and suggests that a figure in this region would be more appropriate.</w:t>
      </w:r>
    </w:p>
    <w:p w14:paraId="607D95FB" w14:textId="77777777" w:rsidR="00733E31" w:rsidRDefault="00733E31" w:rsidP="00733E31">
      <w:pPr>
        <w:pStyle w:val="ListParagraph"/>
        <w:spacing w:line="360" w:lineRule="auto"/>
        <w:ind w:left="360"/>
        <w:jc w:val="both"/>
        <w:rPr>
          <w:rFonts w:ascii="Times New Roman" w:hAnsi="Times New Roman" w:cs="Times New Roman"/>
          <w:sz w:val="24"/>
          <w:szCs w:val="24"/>
        </w:rPr>
      </w:pPr>
    </w:p>
    <w:p w14:paraId="2BF4936E" w14:textId="539A65E7" w:rsidR="00733E31" w:rsidRDefault="00733E31" w:rsidP="002528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Question 16</w:t>
      </w:r>
      <w:r>
        <w:rPr>
          <w:rFonts w:ascii="Times New Roman" w:hAnsi="Times New Roman" w:cs="Times New Roman"/>
          <w:sz w:val="24"/>
          <w:szCs w:val="24"/>
        </w:rPr>
        <w:t>:</w:t>
      </w:r>
      <w:r w:rsidR="008A72BF">
        <w:rPr>
          <w:rFonts w:ascii="Times New Roman" w:hAnsi="Times New Roman" w:cs="Times New Roman"/>
          <w:sz w:val="24"/>
          <w:szCs w:val="24"/>
        </w:rPr>
        <w:t xml:space="preserve"> HLPA agree with this proposal.</w:t>
      </w:r>
    </w:p>
    <w:p w14:paraId="4A2437E4" w14:textId="77777777" w:rsidR="008A72BF" w:rsidRDefault="008A72BF" w:rsidP="008A72BF">
      <w:pPr>
        <w:pStyle w:val="ListParagraph"/>
        <w:spacing w:line="360" w:lineRule="auto"/>
        <w:ind w:left="360"/>
        <w:jc w:val="both"/>
        <w:rPr>
          <w:rFonts w:ascii="Times New Roman" w:hAnsi="Times New Roman" w:cs="Times New Roman"/>
          <w:sz w:val="24"/>
          <w:szCs w:val="24"/>
        </w:rPr>
      </w:pPr>
    </w:p>
    <w:p w14:paraId="245A1962" w14:textId="0AAC8129" w:rsidR="008A72BF" w:rsidRDefault="008A72BF" w:rsidP="002528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Question 17</w:t>
      </w:r>
      <w:r>
        <w:rPr>
          <w:rFonts w:ascii="Times New Roman" w:hAnsi="Times New Roman" w:cs="Times New Roman"/>
          <w:sz w:val="24"/>
          <w:szCs w:val="24"/>
        </w:rPr>
        <w:t>: HLPA agree with this proposal.</w:t>
      </w:r>
    </w:p>
    <w:p w14:paraId="761AFDA3" w14:textId="77777777" w:rsidR="008A72BF" w:rsidRDefault="008A72BF" w:rsidP="008A72BF">
      <w:pPr>
        <w:pStyle w:val="ListParagraph"/>
        <w:spacing w:line="360" w:lineRule="auto"/>
        <w:ind w:left="360"/>
        <w:jc w:val="both"/>
        <w:rPr>
          <w:rFonts w:ascii="Times New Roman" w:hAnsi="Times New Roman" w:cs="Times New Roman"/>
          <w:sz w:val="24"/>
          <w:szCs w:val="24"/>
        </w:rPr>
      </w:pPr>
    </w:p>
    <w:p w14:paraId="544BD69F" w14:textId="393E5A47" w:rsidR="008A72BF" w:rsidRDefault="008A72BF" w:rsidP="002528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Question 18</w:t>
      </w:r>
      <w:r>
        <w:rPr>
          <w:rFonts w:ascii="Times New Roman" w:hAnsi="Times New Roman" w:cs="Times New Roman"/>
          <w:sz w:val="24"/>
          <w:szCs w:val="24"/>
        </w:rPr>
        <w:t xml:space="preserve">: in so far as this is a reference to paragraphs 31 to 32 of the consultation paper, HLPA do not consider that a sufficiently clear definition of </w:t>
      </w:r>
      <w:r>
        <w:rPr>
          <w:rFonts w:ascii="Times New Roman" w:hAnsi="Times New Roman" w:cs="Times New Roman"/>
          <w:i/>
          <w:sz w:val="24"/>
          <w:szCs w:val="24"/>
        </w:rPr>
        <w:t>“hostel”</w:t>
      </w:r>
      <w:r>
        <w:rPr>
          <w:rFonts w:ascii="Times New Roman" w:hAnsi="Times New Roman" w:cs="Times New Roman"/>
          <w:sz w:val="24"/>
          <w:szCs w:val="24"/>
        </w:rPr>
        <w:t xml:space="preserve"> and </w:t>
      </w:r>
      <w:r>
        <w:rPr>
          <w:rFonts w:ascii="Times New Roman" w:hAnsi="Times New Roman" w:cs="Times New Roman"/>
          <w:i/>
          <w:sz w:val="24"/>
          <w:szCs w:val="24"/>
        </w:rPr>
        <w:t xml:space="preserve">“temporary accommodation” </w:t>
      </w:r>
      <w:r>
        <w:rPr>
          <w:rFonts w:ascii="Times New Roman" w:hAnsi="Times New Roman" w:cs="Times New Roman"/>
          <w:sz w:val="24"/>
          <w:szCs w:val="24"/>
        </w:rPr>
        <w:t xml:space="preserve">has been put forward.  These paragraphs give examples rather than definitions of these concepts.  HLPA consider that a clear and specific definition is needed.  HLPA are also concerned by the reference to </w:t>
      </w:r>
      <w:r>
        <w:rPr>
          <w:rFonts w:ascii="Times New Roman" w:hAnsi="Times New Roman" w:cs="Times New Roman"/>
          <w:i/>
          <w:sz w:val="24"/>
          <w:szCs w:val="24"/>
        </w:rPr>
        <w:t xml:space="preserve">“voluntary providers of such accommodation where the organisation’s provision of accommodation is ancillary to its main objectives </w:t>
      </w:r>
      <w:proofErr w:type="spellStart"/>
      <w:r>
        <w:rPr>
          <w:rFonts w:ascii="Times New Roman" w:hAnsi="Times New Roman" w:cs="Times New Roman"/>
          <w:i/>
          <w:sz w:val="24"/>
          <w:szCs w:val="24"/>
        </w:rPr>
        <w:t>eg</w:t>
      </w:r>
      <w:proofErr w:type="spellEnd"/>
      <w:r>
        <w:rPr>
          <w:rFonts w:ascii="Times New Roman" w:hAnsi="Times New Roman" w:cs="Times New Roman"/>
          <w:i/>
          <w:sz w:val="24"/>
          <w:szCs w:val="24"/>
        </w:rPr>
        <w:t xml:space="preserve"> as an organisation whose objective is to provide assistance to recovering drug users”</w:t>
      </w:r>
      <w:r>
        <w:rPr>
          <w:rFonts w:ascii="Times New Roman" w:hAnsi="Times New Roman" w:cs="Times New Roman"/>
          <w:sz w:val="24"/>
          <w:szCs w:val="24"/>
        </w:rPr>
        <w:t xml:space="preserve">.  Whilst the particular example given is of a charitable (or socially-minded) organisation, unless there is a specific requirement that such organisations be of a charitable or other beneficial nature, </w:t>
      </w:r>
      <w:r w:rsidRPr="008A72BF">
        <w:rPr>
          <w:rFonts w:ascii="Times New Roman" w:hAnsi="Times New Roman" w:cs="Times New Roman"/>
          <w:sz w:val="24"/>
          <w:szCs w:val="24"/>
        </w:rPr>
        <w:t>this</w:t>
      </w:r>
      <w:r>
        <w:rPr>
          <w:rFonts w:ascii="Times New Roman" w:hAnsi="Times New Roman" w:cs="Times New Roman"/>
          <w:sz w:val="24"/>
          <w:szCs w:val="24"/>
        </w:rPr>
        <w:t xml:space="preserve"> exemption could be vulnerable to exploitation. </w:t>
      </w:r>
    </w:p>
    <w:p w14:paraId="3FCB57AE" w14:textId="77777777" w:rsidR="008A72BF" w:rsidRDefault="008A72BF" w:rsidP="008A72BF">
      <w:pPr>
        <w:pStyle w:val="ListParagraph"/>
        <w:spacing w:line="360" w:lineRule="auto"/>
        <w:ind w:left="360"/>
        <w:jc w:val="both"/>
        <w:rPr>
          <w:rFonts w:ascii="Times New Roman" w:hAnsi="Times New Roman" w:cs="Times New Roman"/>
          <w:sz w:val="24"/>
          <w:szCs w:val="24"/>
        </w:rPr>
      </w:pPr>
    </w:p>
    <w:p w14:paraId="281A1D20" w14:textId="3459D014" w:rsidR="008A72BF" w:rsidRDefault="008A72BF" w:rsidP="002528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Question 19</w:t>
      </w:r>
      <w:r>
        <w:rPr>
          <w:rFonts w:ascii="Times New Roman" w:hAnsi="Times New Roman" w:cs="Times New Roman"/>
          <w:sz w:val="24"/>
          <w:szCs w:val="24"/>
        </w:rPr>
        <w:t>: HLPA consider that introducing minimum room sizes will impact on persons sharing protected characteristics for the reasons given at their response to question 9.  HLPA consider that the impact is likely to be, on balance, broadly positive save that they are concerned about vulnerable people being forced out of their accommodation and they are particularly concerned about young families being evicted as set out at their response to question to 12.  HLPA are also concerned about enforcement as set out in their response to question 10.</w:t>
      </w:r>
    </w:p>
    <w:p w14:paraId="350C4FB0" w14:textId="77777777" w:rsidR="008A72BF" w:rsidRDefault="008A72BF" w:rsidP="008A72BF">
      <w:pPr>
        <w:pStyle w:val="ListParagraph"/>
        <w:spacing w:line="360" w:lineRule="auto"/>
        <w:ind w:left="360"/>
        <w:jc w:val="both"/>
        <w:rPr>
          <w:rFonts w:ascii="Times New Roman" w:hAnsi="Times New Roman" w:cs="Times New Roman"/>
          <w:sz w:val="24"/>
          <w:szCs w:val="24"/>
        </w:rPr>
      </w:pPr>
    </w:p>
    <w:p w14:paraId="4EA3D249" w14:textId="6B6EEC5A" w:rsidR="008A72BF" w:rsidRDefault="008A72BF" w:rsidP="002528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Question 20</w:t>
      </w:r>
      <w:r>
        <w:rPr>
          <w:rFonts w:ascii="Times New Roman" w:hAnsi="Times New Roman" w:cs="Times New Roman"/>
          <w:sz w:val="24"/>
          <w:szCs w:val="24"/>
        </w:rPr>
        <w:t xml:space="preserve">: HLPA cannot give a figure for how many families living in bedsits or shared houses are likely to be affected but consider it likely </w:t>
      </w:r>
      <w:r w:rsidR="00F87D32">
        <w:rPr>
          <w:rFonts w:ascii="Times New Roman" w:hAnsi="Times New Roman" w:cs="Times New Roman"/>
          <w:sz w:val="24"/>
          <w:szCs w:val="24"/>
        </w:rPr>
        <w:t>to</w:t>
      </w:r>
      <w:r>
        <w:rPr>
          <w:rFonts w:ascii="Times New Roman" w:hAnsi="Times New Roman" w:cs="Times New Roman"/>
          <w:sz w:val="24"/>
          <w:szCs w:val="24"/>
        </w:rPr>
        <w:t xml:space="preserve"> be a very significant number.  HLPA note that many families are placed in single room accommodation by local councils pursuant to homelessness application</w:t>
      </w:r>
      <w:r w:rsidR="00F87D32">
        <w:rPr>
          <w:rFonts w:ascii="Times New Roman" w:hAnsi="Times New Roman" w:cs="Times New Roman"/>
          <w:sz w:val="24"/>
          <w:szCs w:val="24"/>
        </w:rPr>
        <w:t>s</w:t>
      </w:r>
      <w:r>
        <w:rPr>
          <w:rFonts w:ascii="Times New Roman" w:hAnsi="Times New Roman" w:cs="Times New Roman"/>
          <w:sz w:val="24"/>
          <w:szCs w:val="24"/>
        </w:rPr>
        <w:t xml:space="preserve"> and that such families could be caught by </w:t>
      </w:r>
      <w:r>
        <w:rPr>
          <w:rFonts w:ascii="Times New Roman" w:hAnsi="Times New Roman" w:cs="Times New Roman"/>
          <w:sz w:val="24"/>
          <w:szCs w:val="24"/>
        </w:rPr>
        <w:lastRenderedPageBreak/>
        <w:t xml:space="preserve">such a policy.  </w:t>
      </w:r>
      <w:r w:rsidR="00DB56A4">
        <w:rPr>
          <w:rFonts w:ascii="Times New Roman" w:hAnsi="Times New Roman" w:cs="Times New Roman"/>
          <w:sz w:val="24"/>
          <w:szCs w:val="24"/>
        </w:rPr>
        <w:t>HLPA also note that many families are forced into such accommodation by the severe lack of social housing and affordable housing.</w:t>
      </w:r>
    </w:p>
    <w:p w14:paraId="0CF58BBB" w14:textId="77777777" w:rsidR="00DB56A4" w:rsidRDefault="00DB56A4" w:rsidP="00DB56A4">
      <w:pPr>
        <w:pStyle w:val="ListParagraph"/>
        <w:spacing w:line="360" w:lineRule="auto"/>
        <w:ind w:left="360"/>
        <w:jc w:val="both"/>
        <w:rPr>
          <w:rFonts w:ascii="Times New Roman" w:hAnsi="Times New Roman" w:cs="Times New Roman"/>
          <w:sz w:val="24"/>
          <w:szCs w:val="24"/>
        </w:rPr>
      </w:pPr>
    </w:p>
    <w:p w14:paraId="321BA505" w14:textId="6726F738" w:rsidR="00DB56A4" w:rsidRDefault="00DB56A4" w:rsidP="002528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Question 21</w:t>
      </w:r>
      <w:r>
        <w:rPr>
          <w:rFonts w:ascii="Times New Roman" w:hAnsi="Times New Roman" w:cs="Times New Roman"/>
          <w:sz w:val="24"/>
          <w:szCs w:val="24"/>
        </w:rPr>
        <w:t>: HLPA consider that the impact on the family would be broadly negative.  The family would face eviction if their occupation placed their landlord in breach of an HMO licence.  With a severe shortage of social housing and affordable accommodation, such families would face having nowhere to go.  Whilst HLPA would wholeheartedly support measures to make available suitable accommodation for these families, a policy which renders them vulnerable to eviction from their accommodation without any other properties being made available for them is likely to cause them harm.  HLPA consider that this negative effect could be mitigated by modifying the way in which children and adul</w:t>
      </w:r>
      <w:r w:rsidR="00F87D32">
        <w:rPr>
          <w:rFonts w:ascii="Times New Roman" w:hAnsi="Times New Roman" w:cs="Times New Roman"/>
          <w:sz w:val="24"/>
          <w:szCs w:val="24"/>
        </w:rPr>
        <w:t>ts are counted as set out above or, of course, by providing an adequate amount of social and affordable housing.</w:t>
      </w:r>
    </w:p>
    <w:p w14:paraId="6231D04B" w14:textId="77777777" w:rsidR="00DB56A4" w:rsidRDefault="00DB56A4" w:rsidP="00DB56A4">
      <w:pPr>
        <w:pStyle w:val="ListParagraph"/>
        <w:spacing w:line="360" w:lineRule="auto"/>
        <w:ind w:left="360"/>
        <w:jc w:val="both"/>
        <w:rPr>
          <w:rFonts w:ascii="Times New Roman" w:hAnsi="Times New Roman" w:cs="Times New Roman"/>
          <w:sz w:val="24"/>
          <w:szCs w:val="24"/>
        </w:rPr>
      </w:pPr>
    </w:p>
    <w:p w14:paraId="074A45FC" w14:textId="43A669B3" w:rsidR="00DB56A4" w:rsidRPr="00DB56A4" w:rsidRDefault="00DB56A4" w:rsidP="00DB56A4">
      <w:pPr>
        <w:spacing w:line="360" w:lineRule="auto"/>
        <w:jc w:val="both"/>
        <w:rPr>
          <w:rFonts w:ascii="Times New Roman" w:hAnsi="Times New Roman" w:cs="Times New Roman"/>
          <w:i/>
          <w:sz w:val="24"/>
          <w:szCs w:val="24"/>
        </w:rPr>
      </w:pPr>
      <w:r>
        <w:rPr>
          <w:rFonts w:ascii="Times New Roman" w:hAnsi="Times New Roman" w:cs="Times New Roman"/>
          <w:i/>
          <w:sz w:val="24"/>
          <w:szCs w:val="24"/>
        </w:rPr>
        <w:t>Impact assessment</w:t>
      </w:r>
    </w:p>
    <w:p w14:paraId="7E3D9706" w14:textId="502272F7" w:rsidR="00DB56A4" w:rsidRPr="00DB56A4" w:rsidRDefault="00DB56A4" w:rsidP="00252893">
      <w:pPr>
        <w:pStyle w:val="ListParagraph"/>
        <w:numPr>
          <w:ilvl w:val="0"/>
          <w:numId w:val="1"/>
        </w:numPr>
        <w:spacing w:line="360" w:lineRule="auto"/>
        <w:jc w:val="both"/>
        <w:rPr>
          <w:rFonts w:ascii="Times New Roman" w:hAnsi="Times New Roman" w:cs="Times New Roman"/>
          <w:sz w:val="24"/>
          <w:szCs w:val="24"/>
          <w:u w:val="single"/>
        </w:rPr>
      </w:pPr>
      <w:r w:rsidRPr="00DB56A4">
        <w:rPr>
          <w:rFonts w:ascii="Times New Roman" w:hAnsi="Times New Roman" w:cs="Times New Roman"/>
          <w:sz w:val="24"/>
          <w:szCs w:val="24"/>
          <w:u w:val="single"/>
        </w:rPr>
        <w:t>Question 22</w:t>
      </w:r>
      <w:r>
        <w:rPr>
          <w:rFonts w:ascii="Times New Roman" w:hAnsi="Times New Roman" w:cs="Times New Roman"/>
          <w:sz w:val="24"/>
          <w:szCs w:val="24"/>
        </w:rPr>
        <w:t xml:space="preserve">: HLPA are broadly in support of the extension to the licensing regime.  </w:t>
      </w:r>
      <w:r w:rsidR="004D5AFD">
        <w:rPr>
          <w:rFonts w:ascii="Times New Roman" w:hAnsi="Times New Roman" w:cs="Times New Roman"/>
          <w:sz w:val="24"/>
          <w:szCs w:val="24"/>
        </w:rPr>
        <w:t>They do, however, consider it unfortunate that the Impact Assessment does not address what may be said to be the elephant in the room, namely the shortage of affordable and social housing</w:t>
      </w:r>
      <w:r w:rsidR="00F87D32">
        <w:rPr>
          <w:rFonts w:ascii="Times New Roman" w:hAnsi="Times New Roman" w:cs="Times New Roman"/>
          <w:sz w:val="24"/>
          <w:szCs w:val="24"/>
        </w:rPr>
        <w:t xml:space="preserve"> which drives people to live in inadequate and dangerous accommodation and makes them vulnerable to exploitation by rogue landlords</w:t>
      </w:r>
      <w:r w:rsidR="004D5AFD">
        <w:rPr>
          <w:rFonts w:ascii="Times New Roman" w:hAnsi="Times New Roman" w:cs="Times New Roman"/>
          <w:sz w:val="24"/>
          <w:szCs w:val="24"/>
        </w:rPr>
        <w:t xml:space="preserve">.  It is also deficient in that it does not address how the proposals are to be enforced and from what resources.  </w:t>
      </w:r>
    </w:p>
    <w:p w14:paraId="0C28AA43" w14:textId="77777777" w:rsidR="00DB56A4" w:rsidRDefault="00DB56A4" w:rsidP="00DB56A4">
      <w:pPr>
        <w:spacing w:line="360" w:lineRule="auto"/>
        <w:jc w:val="both"/>
        <w:rPr>
          <w:rFonts w:ascii="Times New Roman" w:hAnsi="Times New Roman" w:cs="Times New Roman"/>
          <w:sz w:val="24"/>
          <w:szCs w:val="24"/>
          <w:u w:val="single"/>
        </w:rPr>
      </w:pPr>
    </w:p>
    <w:p w14:paraId="14D723AF" w14:textId="252EC50F" w:rsidR="00DB56A4" w:rsidRPr="00DB56A4" w:rsidRDefault="00DB56A4" w:rsidP="00DB56A4">
      <w:pPr>
        <w:spacing w:line="360" w:lineRule="auto"/>
        <w:jc w:val="both"/>
        <w:rPr>
          <w:rFonts w:ascii="Times New Roman" w:hAnsi="Times New Roman" w:cs="Times New Roman"/>
          <w:i/>
          <w:sz w:val="24"/>
          <w:szCs w:val="24"/>
        </w:rPr>
      </w:pPr>
      <w:r w:rsidRPr="00DB56A4">
        <w:rPr>
          <w:rFonts w:ascii="Times New Roman" w:hAnsi="Times New Roman" w:cs="Times New Roman"/>
          <w:i/>
          <w:sz w:val="24"/>
          <w:szCs w:val="24"/>
        </w:rPr>
        <w:t>Evidence relating to the “fit and proper person” requirement</w:t>
      </w:r>
    </w:p>
    <w:p w14:paraId="6D7822BC" w14:textId="3C2B2CBC" w:rsidR="00DB56A4" w:rsidRPr="00DB56A4" w:rsidRDefault="00DB56A4" w:rsidP="00252893">
      <w:pPr>
        <w:pStyle w:val="ListParagraph"/>
        <w:numPr>
          <w:ilvl w:val="0"/>
          <w:numId w:val="1"/>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Question 22</w:t>
      </w:r>
      <w:r>
        <w:rPr>
          <w:rFonts w:ascii="Times New Roman" w:hAnsi="Times New Roman" w:cs="Times New Roman"/>
          <w:sz w:val="24"/>
          <w:szCs w:val="24"/>
        </w:rPr>
        <w:t xml:space="preserve"> [sic]: HLPA agree that regulations should be made that would require a criminal record certificate to be obtained for an applicant for a licence and any manager of the property.  </w:t>
      </w:r>
    </w:p>
    <w:p w14:paraId="28DF527F" w14:textId="77777777" w:rsidR="00DB56A4" w:rsidRPr="00DB56A4" w:rsidRDefault="00DB56A4" w:rsidP="00DB56A4">
      <w:pPr>
        <w:pStyle w:val="ListParagraph"/>
        <w:spacing w:line="360" w:lineRule="auto"/>
        <w:ind w:left="360"/>
        <w:jc w:val="both"/>
        <w:rPr>
          <w:rFonts w:ascii="Times New Roman" w:hAnsi="Times New Roman" w:cs="Times New Roman"/>
          <w:sz w:val="24"/>
          <w:szCs w:val="24"/>
          <w:u w:val="single"/>
        </w:rPr>
      </w:pPr>
    </w:p>
    <w:p w14:paraId="0F188ECE" w14:textId="55DA0ADB" w:rsidR="00DB56A4" w:rsidRPr="00DB56A4" w:rsidRDefault="00DB56A4" w:rsidP="00252893">
      <w:pPr>
        <w:pStyle w:val="ListParagraph"/>
        <w:numPr>
          <w:ilvl w:val="0"/>
          <w:numId w:val="1"/>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Question 23</w:t>
      </w:r>
      <w:r>
        <w:rPr>
          <w:rFonts w:ascii="Times New Roman" w:hAnsi="Times New Roman" w:cs="Times New Roman"/>
          <w:sz w:val="24"/>
          <w:szCs w:val="24"/>
        </w:rPr>
        <w:t>: HLPA have no comment to make on this.</w:t>
      </w:r>
    </w:p>
    <w:p w14:paraId="0C03BCD7" w14:textId="77777777" w:rsidR="00DB56A4" w:rsidRPr="00DB56A4" w:rsidRDefault="00DB56A4" w:rsidP="00DB56A4">
      <w:pPr>
        <w:pStyle w:val="ListParagraph"/>
        <w:spacing w:line="360" w:lineRule="auto"/>
        <w:ind w:left="360"/>
        <w:jc w:val="both"/>
        <w:rPr>
          <w:rFonts w:ascii="Times New Roman" w:hAnsi="Times New Roman" w:cs="Times New Roman"/>
          <w:sz w:val="24"/>
          <w:szCs w:val="24"/>
          <w:u w:val="single"/>
        </w:rPr>
      </w:pPr>
    </w:p>
    <w:p w14:paraId="0E4A91DD" w14:textId="567CC7A4" w:rsidR="00DB56A4" w:rsidRPr="00DB56A4" w:rsidRDefault="00DB56A4" w:rsidP="00DB56A4">
      <w:pPr>
        <w:spacing w:line="360" w:lineRule="auto"/>
        <w:jc w:val="both"/>
        <w:rPr>
          <w:rFonts w:ascii="Times New Roman" w:hAnsi="Times New Roman" w:cs="Times New Roman"/>
          <w:i/>
          <w:sz w:val="24"/>
          <w:szCs w:val="24"/>
        </w:rPr>
      </w:pPr>
      <w:r w:rsidRPr="00DB56A4">
        <w:rPr>
          <w:rFonts w:ascii="Times New Roman" w:hAnsi="Times New Roman" w:cs="Times New Roman"/>
          <w:i/>
          <w:sz w:val="24"/>
          <w:szCs w:val="24"/>
        </w:rPr>
        <w:t>Refuse disposal facilities</w:t>
      </w:r>
    </w:p>
    <w:p w14:paraId="1A6C8AEF" w14:textId="0E3789FE" w:rsidR="00DB56A4" w:rsidRPr="004D5AFD" w:rsidRDefault="00DB56A4" w:rsidP="00252893">
      <w:pPr>
        <w:pStyle w:val="ListParagraph"/>
        <w:numPr>
          <w:ilvl w:val="0"/>
          <w:numId w:val="1"/>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Question 24</w:t>
      </w:r>
      <w:r>
        <w:rPr>
          <w:rFonts w:ascii="Times New Roman" w:hAnsi="Times New Roman" w:cs="Times New Roman"/>
          <w:sz w:val="24"/>
          <w:szCs w:val="24"/>
        </w:rPr>
        <w:t>: HLPA agree with this proposal in principle but consider that further thought is needed as to how it would work in practice, such as what</w:t>
      </w:r>
      <w:r w:rsidR="004D5AFD">
        <w:rPr>
          <w:rFonts w:ascii="Times New Roman" w:hAnsi="Times New Roman" w:cs="Times New Roman"/>
          <w:sz w:val="24"/>
          <w:szCs w:val="24"/>
        </w:rPr>
        <w:t xml:space="preserve"> would constitute</w:t>
      </w:r>
      <w:r>
        <w:rPr>
          <w:rFonts w:ascii="Times New Roman" w:hAnsi="Times New Roman" w:cs="Times New Roman"/>
          <w:sz w:val="24"/>
          <w:szCs w:val="24"/>
        </w:rPr>
        <w:t xml:space="preserve"> </w:t>
      </w:r>
      <w:r>
        <w:rPr>
          <w:rFonts w:ascii="Times New Roman" w:hAnsi="Times New Roman" w:cs="Times New Roman"/>
          <w:i/>
          <w:sz w:val="24"/>
          <w:szCs w:val="24"/>
        </w:rPr>
        <w:t xml:space="preserve">“normal” </w:t>
      </w:r>
      <w:r w:rsidR="004D5AFD">
        <w:rPr>
          <w:rFonts w:ascii="Times New Roman" w:hAnsi="Times New Roman" w:cs="Times New Roman"/>
          <w:sz w:val="24"/>
          <w:szCs w:val="24"/>
        </w:rPr>
        <w:t>household waste.</w:t>
      </w:r>
    </w:p>
    <w:p w14:paraId="21BCB28B" w14:textId="77777777" w:rsidR="004D5AFD" w:rsidRPr="004D5AFD" w:rsidRDefault="004D5AFD" w:rsidP="004D5AFD">
      <w:pPr>
        <w:pStyle w:val="ListParagraph"/>
        <w:spacing w:line="360" w:lineRule="auto"/>
        <w:ind w:left="360"/>
        <w:jc w:val="both"/>
        <w:rPr>
          <w:rFonts w:ascii="Times New Roman" w:hAnsi="Times New Roman" w:cs="Times New Roman"/>
          <w:sz w:val="24"/>
          <w:szCs w:val="24"/>
          <w:u w:val="single"/>
        </w:rPr>
      </w:pPr>
    </w:p>
    <w:p w14:paraId="37C1506F" w14:textId="69489D05" w:rsidR="004D5AFD" w:rsidRPr="004D5AFD" w:rsidRDefault="004D5AFD" w:rsidP="00252893">
      <w:pPr>
        <w:pStyle w:val="ListParagraph"/>
        <w:numPr>
          <w:ilvl w:val="0"/>
          <w:numId w:val="1"/>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Question 25</w:t>
      </w:r>
      <w:r>
        <w:rPr>
          <w:rFonts w:ascii="Times New Roman" w:hAnsi="Times New Roman" w:cs="Times New Roman"/>
          <w:sz w:val="24"/>
          <w:szCs w:val="24"/>
        </w:rPr>
        <w:t>: HLPA agree with this.</w:t>
      </w:r>
    </w:p>
    <w:p w14:paraId="79397A1A" w14:textId="77777777" w:rsidR="004D5AFD" w:rsidRPr="004D5AFD" w:rsidRDefault="004D5AFD" w:rsidP="004D5AFD">
      <w:pPr>
        <w:pStyle w:val="ListParagraph"/>
        <w:spacing w:line="360" w:lineRule="auto"/>
        <w:ind w:left="360"/>
        <w:jc w:val="both"/>
        <w:rPr>
          <w:rFonts w:ascii="Times New Roman" w:hAnsi="Times New Roman" w:cs="Times New Roman"/>
          <w:sz w:val="24"/>
          <w:szCs w:val="24"/>
          <w:u w:val="single"/>
        </w:rPr>
      </w:pPr>
    </w:p>
    <w:p w14:paraId="5F1A3D49" w14:textId="76F90C14" w:rsidR="004D5AFD" w:rsidRPr="00F87D32" w:rsidRDefault="004D5AFD" w:rsidP="00252893">
      <w:pPr>
        <w:pStyle w:val="ListParagraph"/>
        <w:numPr>
          <w:ilvl w:val="0"/>
          <w:numId w:val="1"/>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Question 26</w:t>
      </w:r>
      <w:r>
        <w:rPr>
          <w:rFonts w:ascii="Times New Roman" w:hAnsi="Times New Roman" w:cs="Times New Roman"/>
          <w:sz w:val="24"/>
          <w:szCs w:val="24"/>
        </w:rPr>
        <w:t>: HLPA are unable to assist with this question.</w:t>
      </w:r>
    </w:p>
    <w:p w14:paraId="54A1404D" w14:textId="77777777" w:rsidR="00F87D32" w:rsidRPr="004D5AFD" w:rsidRDefault="00F87D32" w:rsidP="00F87D32">
      <w:pPr>
        <w:pStyle w:val="ListParagraph"/>
        <w:spacing w:line="360" w:lineRule="auto"/>
        <w:ind w:left="360"/>
        <w:jc w:val="both"/>
        <w:rPr>
          <w:rFonts w:ascii="Times New Roman" w:hAnsi="Times New Roman" w:cs="Times New Roman"/>
          <w:sz w:val="24"/>
          <w:szCs w:val="24"/>
          <w:u w:val="single"/>
        </w:rPr>
      </w:pPr>
      <w:bookmarkStart w:id="0" w:name="_GoBack"/>
      <w:bookmarkEnd w:id="0"/>
    </w:p>
    <w:p w14:paraId="099A13DF" w14:textId="16BF2AB5" w:rsidR="004D5AFD" w:rsidRPr="004D5AFD" w:rsidRDefault="004D5AFD" w:rsidP="004D5AFD">
      <w:pPr>
        <w:spacing w:line="360" w:lineRule="auto"/>
        <w:jc w:val="both"/>
        <w:rPr>
          <w:rFonts w:ascii="Times New Roman" w:hAnsi="Times New Roman" w:cs="Times New Roman"/>
          <w:i/>
          <w:sz w:val="24"/>
          <w:szCs w:val="24"/>
        </w:rPr>
      </w:pPr>
      <w:r w:rsidRPr="004D5AFD">
        <w:rPr>
          <w:rFonts w:ascii="Times New Roman" w:hAnsi="Times New Roman" w:cs="Times New Roman"/>
          <w:i/>
          <w:sz w:val="24"/>
          <w:szCs w:val="24"/>
        </w:rPr>
        <w:t>Purpose built student housing</w:t>
      </w:r>
    </w:p>
    <w:p w14:paraId="2D216A06" w14:textId="1897237F" w:rsidR="004D5AFD" w:rsidRPr="004D5AFD" w:rsidRDefault="004D5AFD" w:rsidP="004D5AFD">
      <w:pPr>
        <w:pStyle w:val="ListParagraph"/>
        <w:numPr>
          <w:ilvl w:val="0"/>
          <w:numId w:val="1"/>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Questions 27 to 32</w:t>
      </w:r>
      <w:r>
        <w:rPr>
          <w:rFonts w:ascii="Times New Roman" w:hAnsi="Times New Roman" w:cs="Times New Roman"/>
          <w:sz w:val="24"/>
          <w:szCs w:val="24"/>
        </w:rPr>
        <w:t>: HLPA are unable to assist with these questions.</w:t>
      </w:r>
    </w:p>
    <w:p w14:paraId="48C97C95" w14:textId="77777777" w:rsidR="004D5AFD" w:rsidRDefault="004D5AFD" w:rsidP="004D5AFD">
      <w:pPr>
        <w:pStyle w:val="ListParagraph"/>
        <w:spacing w:line="360" w:lineRule="auto"/>
        <w:ind w:left="360"/>
        <w:jc w:val="both"/>
        <w:rPr>
          <w:rFonts w:ascii="Times New Roman" w:hAnsi="Times New Roman" w:cs="Times New Roman"/>
          <w:sz w:val="24"/>
          <w:szCs w:val="24"/>
          <w:u w:val="single"/>
        </w:rPr>
      </w:pPr>
    </w:p>
    <w:p w14:paraId="74BD2E34" w14:textId="4096BC9A" w:rsidR="004D5AFD" w:rsidRDefault="004D5AFD" w:rsidP="004D5AFD">
      <w:pPr>
        <w:pStyle w:val="ListParagraph"/>
        <w:spacing w:line="360" w:lineRule="auto"/>
        <w:ind w:left="360"/>
        <w:jc w:val="right"/>
        <w:rPr>
          <w:rFonts w:ascii="Times New Roman" w:hAnsi="Times New Roman" w:cs="Times New Roman"/>
          <w:sz w:val="24"/>
          <w:szCs w:val="24"/>
        </w:rPr>
      </w:pPr>
      <w:r>
        <w:rPr>
          <w:rFonts w:ascii="Times New Roman" w:hAnsi="Times New Roman" w:cs="Times New Roman"/>
          <w:sz w:val="24"/>
          <w:szCs w:val="24"/>
        </w:rPr>
        <w:t>Tessa Buchanan (Barrister)</w:t>
      </w:r>
    </w:p>
    <w:p w14:paraId="64EBC9DB" w14:textId="44ABD02B" w:rsidR="004D5AFD" w:rsidRDefault="004D5AFD" w:rsidP="004D5AFD">
      <w:pPr>
        <w:pStyle w:val="ListParagraph"/>
        <w:spacing w:line="360" w:lineRule="auto"/>
        <w:ind w:left="360"/>
        <w:jc w:val="right"/>
        <w:rPr>
          <w:rFonts w:ascii="Times New Roman" w:hAnsi="Times New Roman" w:cs="Times New Roman"/>
          <w:sz w:val="24"/>
          <w:szCs w:val="24"/>
        </w:rPr>
      </w:pPr>
      <w:r>
        <w:rPr>
          <w:rFonts w:ascii="Times New Roman" w:hAnsi="Times New Roman" w:cs="Times New Roman"/>
          <w:sz w:val="24"/>
          <w:szCs w:val="24"/>
        </w:rPr>
        <w:t>tessab@gclaw.co.uk</w:t>
      </w:r>
    </w:p>
    <w:p w14:paraId="290C37D6" w14:textId="40B1F10F" w:rsidR="004D5AFD" w:rsidRDefault="004D5AFD" w:rsidP="004D5AFD">
      <w:pPr>
        <w:pStyle w:val="ListParagraph"/>
        <w:spacing w:line="360" w:lineRule="auto"/>
        <w:ind w:left="360"/>
        <w:jc w:val="right"/>
        <w:rPr>
          <w:rFonts w:ascii="Times New Roman" w:hAnsi="Times New Roman" w:cs="Times New Roman"/>
          <w:sz w:val="24"/>
          <w:szCs w:val="24"/>
        </w:rPr>
      </w:pPr>
      <w:r>
        <w:rPr>
          <w:rFonts w:ascii="Times New Roman" w:hAnsi="Times New Roman" w:cs="Times New Roman"/>
          <w:sz w:val="24"/>
          <w:szCs w:val="24"/>
        </w:rPr>
        <w:t>Vice Chair of the Housing Law Practitioners Association</w:t>
      </w:r>
    </w:p>
    <w:p w14:paraId="28BE379F" w14:textId="77777777" w:rsidR="004D5AFD" w:rsidRPr="00E20655" w:rsidRDefault="004D5AFD" w:rsidP="004D5AFD">
      <w:pPr>
        <w:spacing w:line="360" w:lineRule="auto"/>
        <w:ind w:left="357"/>
        <w:jc w:val="right"/>
        <w:rPr>
          <w:rFonts w:ascii="Times New Roman" w:hAnsi="Times New Roman" w:cs="Times New Roman"/>
          <w:sz w:val="24"/>
          <w:szCs w:val="24"/>
        </w:rPr>
      </w:pPr>
      <w:r w:rsidRPr="00E20655">
        <w:rPr>
          <w:rFonts w:ascii="Times New Roman" w:hAnsi="Times New Roman" w:cs="Times New Roman"/>
          <w:sz w:val="24"/>
          <w:szCs w:val="24"/>
        </w:rPr>
        <w:t>On behalf of the Housing Law Practitioners Association</w:t>
      </w:r>
    </w:p>
    <w:p w14:paraId="24688F5A" w14:textId="77777777" w:rsidR="004D5AFD" w:rsidRPr="00E20655" w:rsidRDefault="004D5AFD" w:rsidP="004D5AFD">
      <w:pPr>
        <w:spacing w:line="360" w:lineRule="auto"/>
        <w:ind w:left="357"/>
        <w:jc w:val="right"/>
        <w:rPr>
          <w:rFonts w:ascii="Times New Roman" w:hAnsi="Times New Roman" w:cs="Times New Roman"/>
          <w:sz w:val="24"/>
          <w:szCs w:val="24"/>
        </w:rPr>
      </w:pPr>
      <w:r w:rsidRPr="00E20655">
        <w:rPr>
          <w:rFonts w:ascii="Times New Roman" w:hAnsi="Times New Roman" w:cs="Times New Roman"/>
          <w:sz w:val="24"/>
          <w:szCs w:val="24"/>
        </w:rPr>
        <w:t>4 Garrett Street</w:t>
      </w:r>
    </w:p>
    <w:p w14:paraId="5A503933" w14:textId="77777777" w:rsidR="004D5AFD" w:rsidRPr="00E20655" w:rsidRDefault="004D5AFD" w:rsidP="004D5AFD">
      <w:pPr>
        <w:spacing w:line="360" w:lineRule="auto"/>
        <w:ind w:left="357"/>
        <w:jc w:val="right"/>
        <w:rPr>
          <w:rFonts w:ascii="Times New Roman" w:hAnsi="Times New Roman" w:cs="Times New Roman"/>
          <w:sz w:val="24"/>
          <w:szCs w:val="24"/>
        </w:rPr>
      </w:pPr>
      <w:r w:rsidRPr="00E20655">
        <w:rPr>
          <w:rFonts w:ascii="Times New Roman" w:hAnsi="Times New Roman" w:cs="Times New Roman"/>
          <w:sz w:val="24"/>
          <w:szCs w:val="24"/>
        </w:rPr>
        <w:t>London EC1Y 0TY</w:t>
      </w:r>
    </w:p>
    <w:p w14:paraId="52AF3AA2" w14:textId="77777777" w:rsidR="004D5AFD" w:rsidRPr="00E20655" w:rsidRDefault="004D5AFD" w:rsidP="004D5AFD">
      <w:pPr>
        <w:spacing w:line="360" w:lineRule="auto"/>
        <w:ind w:left="360"/>
        <w:jc w:val="right"/>
        <w:rPr>
          <w:rFonts w:ascii="Times New Roman" w:hAnsi="Times New Roman" w:cs="Times New Roman"/>
          <w:sz w:val="24"/>
          <w:szCs w:val="24"/>
        </w:rPr>
      </w:pPr>
    </w:p>
    <w:p w14:paraId="27694247" w14:textId="77777777" w:rsidR="004D5AFD" w:rsidRPr="00E20655" w:rsidRDefault="004D5AFD" w:rsidP="004D5AFD">
      <w:pPr>
        <w:spacing w:line="360" w:lineRule="auto"/>
        <w:ind w:left="360"/>
        <w:jc w:val="right"/>
        <w:rPr>
          <w:rFonts w:ascii="Times New Roman" w:hAnsi="Times New Roman" w:cs="Times New Roman"/>
          <w:sz w:val="24"/>
          <w:szCs w:val="24"/>
        </w:rPr>
      </w:pPr>
      <w:r>
        <w:rPr>
          <w:rFonts w:ascii="Times New Roman" w:hAnsi="Times New Roman" w:cs="Times New Roman"/>
          <w:sz w:val="24"/>
          <w:szCs w:val="24"/>
        </w:rPr>
        <w:t>13</w:t>
      </w:r>
      <w:r w:rsidRPr="00E2065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w:t>
      </w:r>
      <w:r w:rsidRPr="00E20655">
        <w:rPr>
          <w:rFonts w:ascii="Times New Roman" w:hAnsi="Times New Roman" w:cs="Times New Roman"/>
          <w:sz w:val="24"/>
          <w:szCs w:val="24"/>
        </w:rPr>
        <w:t xml:space="preserve"> 2016</w:t>
      </w:r>
    </w:p>
    <w:p w14:paraId="2C21D391" w14:textId="77777777" w:rsidR="004D5AFD" w:rsidRDefault="004D5AFD" w:rsidP="004D5AFD">
      <w:pPr>
        <w:pStyle w:val="ListParagraph"/>
        <w:spacing w:line="360" w:lineRule="auto"/>
        <w:ind w:left="360"/>
        <w:jc w:val="right"/>
        <w:rPr>
          <w:rFonts w:ascii="Times New Roman" w:hAnsi="Times New Roman" w:cs="Times New Roman"/>
          <w:sz w:val="24"/>
          <w:szCs w:val="24"/>
        </w:rPr>
      </w:pPr>
    </w:p>
    <w:p w14:paraId="2BA4CA04" w14:textId="77777777" w:rsidR="007D1675" w:rsidRPr="00E20655" w:rsidRDefault="007D1675" w:rsidP="00E20655">
      <w:pPr>
        <w:spacing w:line="360" w:lineRule="auto"/>
        <w:rPr>
          <w:rFonts w:ascii="Times New Roman" w:hAnsi="Times New Roman" w:cs="Times New Roman"/>
          <w:sz w:val="24"/>
          <w:szCs w:val="24"/>
        </w:rPr>
      </w:pPr>
    </w:p>
    <w:sectPr w:rsidR="007D1675" w:rsidRPr="00E20655" w:rsidSect="00B960D6">
      <w:headerReference w:type="even" r:id="rId9"/>
      <w:headerReference w:type="default" r:id="rId10"/>
      <w:footerReference w:type="default" r:id="rId11"/>
      <w:headerReference w:type="first" r:id="rId12"/>
      <w:pgSz w:w="11906" w:h="16838"/>
      <w:pgMar w:top="1440" w:right="1440" w:bottom="1440" w:left="144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06040" w14:textId="77777777" w:rsidR="000B2E26" w:rsidRDefault="000B2E26" w:rsidP="00017B6B">
      <w:pPr>
        <w:spacing w:after="0" w:line="240" w:lineRule="auto"/>
      </w:pPr>
      <w:r>
        <w:separator/>
      </w:r>
    </w:p>
  </w:endnote>
  <w:endnote w:type="continuationSeparator" w:id="0">
    <w:p w14:paraId="09F2BFA1" w14:textId="77777777" w:rsidR="000B2E26" w:rsidRDefault="000B2E26" w:rsidP="0001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97228"/>
      <w:docPartObj>
        <w:docPartGallery w:val="Page Numbers (Bottom of Page)"/>
        <w:docPartUnique/>
      </w:docPartObj>
    </w:sdtPr>
    <w:sdtEndPr>
      <w:rPr>
        <w:noProof/>
      </w:rPr>
    </w:sdtEndPr>
    <w:sdtContent>
      <w:p w14:paraId="72D989E1" w14:textId="77777777" w:rsidR="00B960D6" w:rsidRDefault="00B960D6">
        <w:pPr>
          <w:pStyle w:val="Footer"/>
          <w:jc w:val="center"/>
        </w:pPr>
        <w:r>
          <w:fldChar w:fldCharType="begin"/>
        </w:r>
        <w:r>
          <w:instrText xml:space="preserve"> PAGE   \* MERGEFORMAT </w:instrText>
        </w:r>
        <w:r>
          <w:fldChar w:fldCharType="separate"/>
        </w:r>
        <w:r w:rsidR="00F87D32">
          <w:rPr>
            <w:noProof/>
          </w:rPr>
          <w:t>7</w:t>
        </w:r>
        <w:r>
          <w:rPr>
            <w:noProof/>
          </w:rPr>
          <w:fldChar w:fldCharType="end"/>
        </w:r>
      </w:p>
    </w:sdtContent>
  </w:sdt>
  <w:p w14:paraId="1E8B7586" w14:textId="77777777" w:rsidR="00B960D6" w:rsidRDefault="00B96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C0A7B" w14:textId="77777777" w:rsidR="000B2E26" w:rsidRDefault="000B2E26" w:rsidP="00017B6B">
      <w:pPr>
        <w:spacing w:after="0" w:line="240" w:lineRule="auto"/>
      </w:pPr>
      <w:r>
        <w:separator/>
      </w:r>
    </w:p>
  </w:footnote>
  <w:footnote w:type="continuationSeparator" w:id="0">
    <w:p w14:paraId="55A72564" w14:textId="77777777" w:rsidR="000B2E26" w:rsidRDefault="000B2E26" w:rsidP="0001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A7681" w14:textId="77777777" w:rsidR="003B7209" w:rsidRDefault="00F87D32">
    <w:pPr>
      <w:pStyle w:val="Header"/>
    </w:pPr>
    <w:r>
      <w:rPr>
        <w:noProof/>
        <w:lang w:eastAsia="en-GB"/>
      </w:rPr>
      <w:pict w14:anchorId="715FEC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820717" o:spid="_x0000_s2053" type="#_x0000_t75" style="position:absolute;margin-left:0;margin-top:0;width:451.2pt;height:174.9pt;z-index:-251657216;mso-position-horizontal:center;mso-position-horizontal-relative:margin;mso-position-vertical:center;mso-position-vertical-relative:margin" o:allowincell="f">
          <v:imagedata r:id="rId1" o:title="hlpa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C1A2" w14:textId="77777777" w:rsidR="003B7209" w:rsidRDefault="00F87D32">
    <w:pPr>
      <w:pStyle w:val="Header"/>
    </w:pPr>
    <w:r>
      <w:rPr>
        <w:noProof/>
        <w:lang w:eastAsia="en-GB"/>
      </w:rPr>
      <w:pict w14:anchorId="080BD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820718" o:spid="_x0000_s2054" type="#_x0000_t75" style="position:absolute;margin-left:0;margin-top:0;width:451.2pt;height:174.9pt;z-index:-251656192;mso-position-horizontal:center;mso-position-horizontal-relative:margin;mso-position-vertical:center;mso-position-vertical-relative:margin" o:allowincell="f">
          <v:imagedata r:id="rId1" o:title="hlpa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B9FED" w14:textId="77777777" w:rsidR="003B7209" w:rsidRDefault="00F87D32">
    <w:pPr>
      <w:pStyle w:val="Header"/>
    </w:pPr>
    <w:r>
      <w:rPr>
        <w:noProof/>
        <w:lang w:eastAsia="en-GB"/>
      </w:rPr>
      <w:pict w14:anchorId="48845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820716" o:spid="_x0000_s2052" type="#_x0000_t75" style="position:absolute;margin-left:0;margin-top:0;width:451.2pt;height:174.9pt;z-index:-251658240;mso-position-horizontal:center;mso-position-horizontal-relative:margin;mso-position-vertical:center;mso-position-vertical-relative:margin" o:allowincell="f">
          <v:imagedata r:id="rId1" o:title="hlpa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45D7B"/>
    <w:multiLevelType w:val="hybridMultilevel"/>
    <w:tmpl w:val="05668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A69585E"/>
    <w:multiLevelType w:val="hybridMultilevel"/>
    <w:tmpl w:val="A02E81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1E"/>
    <w:rsid w:val="00003AAE"/>
    <w:rsid w:val="00017B6B"/>
    <w:rsid w:val="00055477"/>
    <w:rsid w:val="000B2E26"/>
    <w:rsid w:val="000E534D"/>
    <w:rsid w:val="001301D3"/>
    <w:rsid w:val="00202E10"/>
    <w:rsid w:val="00252893"/>
    <w:rsid w:val="0029503F"/>
    <w:rsid w:val="0031303D"/>
    <w:rsid w:val="0036270D"/>
    <w:rsid w:val="003B7209"/>
    <w:rsid w:val="004272D2"/>
    <w:rsid w:val="00430A16"/>
    <w:rsid w:val="00482CD0"/>
    <w:rsid w:val="004D5AFD"/>
    <w:rsid w:val="00564057"/>
    <w:rsid w:val="00564633"/>
    <w:rsid w:val="005677D9"/>
    <w:rsid w:val="005976C0"/>
    <w:rsid w:val="00616605"/>
    <w:rsid w:val="006741C4"/>
    <w:rsid w:val="00733E31"/>
    <w:rsid w:val="00741634"/>
    <w:rsid w:val="007976BB"/>
    <w:rsid w:val="007D1675"/>
    <w:rsid w:val="008216E4"/>
    <w:rsid w:val="008A72BF"/>
    <w:rsid w:val="00905A0D"/>
    <w:rsid w:val="00905F7F"/>
    <w:rsid w:val="00964323"/>
    <w:rsid w:val="00971F40"/>
    <w:rsid w:val="009B3FB7"/>
    <w:rsid w:val="009C112D"/>
    <w:rsid w:val="00A14BA5"/>
    <w:rsid w:val="00A81F83"/>
    <w:rsid w:val="00AF2D4D"/>
    <w:rsid w:val="00B15B38"/>
    <w:rsid w:val="00B172FA"/>
    <w:rsid w:val="00B33D1E"/>
    <w:rsid w:val="00B960D6"/>
    <w:rsid w:val="00BE2C75"/>
    <w:rsid w:val="00C328D2"/>
    <w:rsid w:val="00CD1A7E"/>
    <w:rsid w:val="00D32B42"/>
    <w:rsid w:val="00D33CE5"/>
    <w:rsid w:val="00D532DE"/>
    <w:rsid w:val="00D81021"/>
    <w:rsid w:val="00D93316"/>
    <w:rsid w:val="00DB56A4"/>
    <w:rsid w:val="00DB62FE"/>
    <w:rsid w:val="00E050B2"/>
    <w:rsid w:val="00E16BBF"/>
    <w:rsid w:val="00E20655"/>
    <w:rsid w:val="00E5538F"/>
    <w:rsid w:val="00E8134D"/>
    <w:rsid w:val="00EB6DE1"/>
    <w:rsid w:val="00EE315E"/>
    <w:rsid w:val="00F87D32"/>
    <w:rsid w:val="00F93C4E"/>
    <w:rsid w:val="00FC6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5EF9F48"/>
  <w15:chartTrackingRefBased/>
  <w15:docId w15:val="{BE5BC8D4-D5B4-45C8-A11D-7FE4C36D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633"/>
    <w:pPr>
      <w:ind w:left="720"/>
      <w:contextualSpacing/>
    </w:pPr>
  </w:style>
  <w:style w:type="character" w:styleId="Hyperlink">
    <w:name w:val="Hyperlink"/>
    <w:basedOn w:val="DefaultParagraphFont"/>
    <w:uiPriority w:val="99"/>
    <w:unhideWhenUsed/>
    <w:rsid w:val="00D32B42"/>
    <w:rPr>
      <w:color w:val="0563C1" w:themeColor="hyperlink"/>
      <w:u w:val="single"/>
    </w:rPr>
  </w:style>
  <w:style w:type="paragraph" w:styleId="FootnoteText">
    <w:name w:val="footnote text"/>
    <w:basedOn w:val="Normal"/>
    <w:link w:val="FootnoteTextChar"/>
    <w:uiPriority w:val="99"/>
    <w:semiHidden/>
    <w:unhideWhenUsed/>
    <w:rsid w:val="00017B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B6B"/>
    <w:rPr>
      <w:sz w:val="20"/>
      <w:szCs w:val="20"/>
    </w:rPr>
  </w:style>
  <w:style w:type="character" w:styleId="FootnoteReference">
    <w:name w:val="footnote reference"/>
    <w:basedOn w:val="DefaultParagraphFont"/>
    <w:uiPriority w:val="99"/>
    <w:semiHidden/>
    <w:unhideWhenUsed/>
    <w:rsid w:val="00017B6B"/>
    <w:rPr>
      <w:vertAlign w:val="superscript"/>
    </w:rPr>
  </w:style>
  <w:style w:type="paragraph" w:styleId="Header">
    <w:name w:val="header"/>
    <w:basedOn w:val="Normal"/>
    <w:link w:val="HeaderChar"/>
    <w:uiPriority w:val="99"/>
    <w:unhideWhenUsed/>
    <w:rsid w:val="00B9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0D6"/>
  </w:style>
  <w:style w:type="paragraph" w:styleId="Footer">
    <w:name w:val="footer"/>
    <w:basedOn w:val="Normal"/>
    <w:link w:val="FooterChar"/>
    <w:uiPriority w:val="99"/>
    <w:unhideWhenUsed/>
    <w:rsid w:val="00B9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0D6"/>
  </w:style>
  <w:style w:type="table" w:styleId="TableGrid">
    <w:name w:val="Table Grid"/>
    <w:basedOn w:val="TableNormal"/>
    <w:rsid w:val="003B7209"/>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77D9"/>
    <w:rPr>
      <w:sz w:val="16"/>
      <w:szCs w:val="16"/>
    </w:rPr>
  </w:style>
  <w:style w:type="paragraph" w:styleId="CommentText">
    <w:name w:val="annotation text"/>
    <w:basedOn w:val="Normal"/>
    <w:link w:val="CommentTextChar"/>
    <w:uiPriority w:val="99"/>
    <w:semiHidden/>
    <w:unhideWhenUsed/>
    <w:rsid w:val="005677D9"/>
    <w:pPr>
      <w:spacing w:line="240" w:lineRule="auto"/>
    </w:pPr>
    <w:rPr>
      <w:sz w:val="20"/>
      <w:szCs w:val="20"/>
    </w:rPr>
  </w:style>
  <w:style w:type="character" w:customStyle="1" w:styleId="CommentTextChar">
    <w:name w:val="Comment Text Char"/>
    <w:basedOn w:val="DefaultParagraphFont"/>
    <w:link w:val="CommentText"/>
    <w:uiPriority w:val="99"/>
    <w:semiHidden/>
    <w:rsid w:val="005677D9"/>
    <w:rPr>
      <w:sz w:val="20"/>
      <w:szCs w:val="20"/>
    </w:rPr>
  </w:style>
  <w:style w:type="paragraph" w:styleId="CommentSubject">
    <w:name w:val="annotation subject"/>
    <w:basedOn w:val="CommentText"/>
    <w:next w:val="CommentText"/>
    <w:link w:val="CommentSubjectChar"/>
    <w:uiPriority w:val="99"/>
    <w:semiHidden/>
    <w:unhideWhenUsed/>
    <w:rsid w:val="005677D9"/>
    <w:rPr>
      <w:b/>
      <w:bCs/>
    </w:rPr>
  </w:style>
  <w:style w:type="character" w:customStyle="1" w:styleId="CommentSubjectChar">
    <w:name w:val="Comment Subject Char"/>
    <w:basedOn w:val="CommentTextChar"/>
    <w:link w:val="CommentSubject"/>
    <w:uiPriority w:val="99"/>
    <w:semiHidden/>
    <w:rsid w:val="005677D9"/>
    <w:rPr>
      <w:b/>
      <w:bCs/>
      <w:sz w:val="20"/>
      <w:szCs w:val="20"/>
    </w:rPr>
  </w:style>
  <w:style w:type="paragraph" w:styleId="BalloonText">
    <w:name w:val="Balloon Text"/>
    <w:basedOn w:val="Normal"/>
    <w:link w:val="BalloonTextChar"/>
    <w:uiPriority w:val="99"/>
    <w:semiHidden/>
    <w:unhideWhenUsed/>
    <w:rsid w:val="00567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D9"/>
    <w:rPr>
      <w:rFonts w:ascii="Segoe UI" w:hAnsi="Segoe UI" w:cs="Segoe UI"/>
      <w:sz w:val="18"/>
      <w:szCs w:val="18"/>
    </w:rPr>
  </w:style>
  <w:style w:type="paragraph" w:styleId="NormalWeb">
    <w:name w:val="Normal (Web)"/>
    <w:basedOn w:val="Normal"/>
    <w:uiPriority w:val="99"/>
    <w:semiHidden/>
    <w:unhideWhenUsed/>
    <w:rsid w:val="00A81F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81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88739">
      <w:bodyDiv w:val="1"/>
      <w:marLeft w:val="0"/>
      <w:marRight w:val="0"/>
      <w:marTop w:val="0"/>
      <w:marBottom w:val="0"/>
      <w:divBdr>
        <w:top w:val="none" w:sz="0" w:space="0" w:color="auto"/>
        <w:left w:val="none" w:sz="0" w:space="0" w:color="auto"/>
        <w:bottom w:val="none" w:sz="0" w:space="0" w:color="auto"/>
        <w:right w:val="none" w:sz="0" w:space="0" w:color="auto"/>
      </w:divBdr>
      <w:divsChild>
        <w:div w:id="484861061">
          <w:marLeft w:val="0"/>
          <w:marRight w:val="0"/>
          <w:marTop w:val="0"/>
          <w:marBottom w:val="0"/>
          <w:divBdr>
            <w:top w:val="none" w:sz="0" w:space="0" w:color="auto"/>
            <w:left w:val="none" w:sz="0" w:space="0" w:color="auto"/>
            <w:bottom w:val="none" w:sz="0" w:space="0" w:color="auto"/>
            <w:right w:val="none" w:sz="0" w:space="0" w:color="auto"/>
          </w:divBdr>
          <w:divsChild>
            <w:div w:id="1998722910">
              <w:marLeft w:val="0"/>
              <w:marRight w:val="0"/>
              <w:marTop w:val="0"/>
              <w:marBottom w:val="0"/>
              <w:divBdr>
                <w:top w:val="none" w:sz="0" w:space="0" w:color="auto"/>
                <w:left w:val="none" w:sz="0" w:space="0" w:color="auto"/>
                <w:bottom w:val="none" w:sz="0" w:space="0" w:color="auto"/>
                <w:right w:val="none" w:sz="0" w:space="0" w:color="auto"/>
              </w:divBdr>
            </w:div>
            <w:div w:id="45643595">
              <w:marLeft w:val="0"/>
              <w:marRight w:val="0"/>
              <w:marTop w:val="0"/>
              <w:marBottom w:val="0"/>
              <w:divBdr>
                <w:top w:val="none" w:sz="0" w:space="0" w:color="auto"/>
                <w:left w:val="none" w:sz="0" w:space="0" w:color="auto"/>
                <w:bottom w:val="none" w:sz="0" w:space="0" w:color="auto"/>
                <w:right w:val="none" w:sz="0" w:space="0" w:color="auto"/>
              </w:divBdr>
            </w:div>
            <w:div w:id="909772937">
              <w:marLeft w:val="0"/>
              <w:marRight w:val="0"/>
              <w:marTop w:val="0"/>
              <w:marBottom w:val="0"/>
              <w:divBdr>
                <w:top w:val="none" w:sz="0" w:space="0" w:color="auto"/>
                <w:left w:val="none" w:sz="0" w:space="0" w:color="auto"/>
                <w:bottom w:val="none" w:sz="0" w:space="0" w:color="auto"/>
                <w:right w:val="none" w:sz="0" w:space="0" w:color="auto"/>
              </w:divBdr>
            </w:div>
            <w:div w:id="1836219563">
              <w:marLeft w:val="0"/>
              <w:marRight w:val="0"/>
              <w:marTop w:val="0"/>
              <w:marBottom w:val="0"/>
              <w:divBdr>
                <w:top w:val="none" w:sz="0" w:space="0" w:color="auto"/>
                <w:left w:val="none" w:sz="0" w:space="0" w:color="auto"/>
                <w:bottom w:val="none" w:sz="0" w:space="0" w:color="auto"/>
                <w:right w:val="none" w:sz="0" w:space="0" w:color="auto"/>
              </w:divBdr>
            </w:div>
            <w:div w:id="1463618518">
              <w:marLeft w:val="0"/>
              <w:marRight w:val="0"/>
              <w:marTop w:val="0"/>
              <w:marBottom w:val="0"/>
              <w:divBdr>
                <w:top w:val="none" w:sz="0" w:space="0" w:color="auto"/>
                <w:left w:val="none" w:sz="0" w:space="0" w:color="auto"/>
                <w:bottom w:val="none" w:sz="0" w:space="0" w:color="auto"/>
                <w:right w:val="none" w:sz="0" w:space="0" w:color="auto"/>
              </w:divBdr>
            </w:div>
          </w:divsChild>
        </w:div>
        <w:div w:id="1218010739">
          <w:marLeft w:val="0"/>
          <w:marRight w:val="0"/>
          <w:marTop w:val="0"/>
          <w:marBottom w:val="0"/>
          <w:divBdr>
            <w:top w:val="none" w:sz="0" w:space="0" w:color="auto"/>
            <w:left w:val="none" w:sz="0" w:space="0" w:color="auto"/>
            <w:bottom w:val="none" w:sz="0" w:space="0" w:color="auto"/>
            <w:right w:val="none" w:sz="0" w:space="0" w:color="auto"/>
          </w:divBdr>
          <w:divsChild>
            <w:div w:id="1889535939">
              <w:marLeft w:val="0"/>
              <w:marRight w:val="0"/>
              <w:marTop w:val="0"/>
              <w:marBottom w:val="0"/>
              <w:divBdr>
                <w:top w:val="none" w:sz="0" w:space="0" w:color="auto"/>
                <w:left w:val="none" w:sz="0" w:space="0" w:color="auto"/>
                <w:bottom w:val="none" w:sz="0" w:space="0" w:color="auto"/>
                <w:right w:val="none" w:sz="0" w:space="0" w:color="auto"/>
              </w:divBdr>
            </w:div>
            <w:div w:id="1325013073">
              <w:marLeft w:val="0"/>
              <w:marRight w:val="0"/>
              <w:marTop w:val="0"/>
              <w:marBottom w:val="0"/>
              <w:divBdr>
                <w:top w:val="none" w:sz="0" w:space="0" w:color="auto"/>
                <w:left w:val="none" w:sz="0" w:space="0" w:color="auto"/>
                <w:bottom w:val="none" w:sz="0" w:space="0" w:color="auto"/>
                <w:right w:val="none" w:sz="0" w:space="0" w:color="auto"/>
              </w:divBdr>
            </w:div>
            <w:div w:id="1915700565">
              <w:marLeft w:val="0"/>
              <w:marRight w:val="0"/>
              <w:marTop w:val="0"/>
              <w:marBottom w:val="0"/>
              <w:divBdr>
                <w:top w:val="none" w:sz="0" w:space="0" w:color="auto"/>
                <w:left w:val="none" w:sz="0" w:space="0" w:color="auto"/>
                <w:bottom w:val="none" w:sz="0" w:space="0" w:color="auto"/>
                <w:right w:val="none" w:sz="0" w:space="0" w:color="auto"/>
              </w:divBdr>
            </w:div>
            <w:div w:id="1495150315">
              <w:marLeft w:val="0"/>
              <w:marRight w:val="0"/>
              <w:marTop w:val="0"/>
              <w:marBottom w:val="0"/>
              <w:divBdr>
                <w:top w:val="none" w:sz="0" w:space="0" w:color="auto"/>
                <w:left w:val="none" w:sz="0" w:space="0" w:color="auto"/>
                <w:bottom w:val="none" w:sz="0" w:space="0" w:color="auto"/>
                <w:right w:val="none" w:sz="0" w:space="0" w:color="auto"/>
              </w:divBdr>
            </w:div>
            <w:div w:id="2008090166">
              <w:marLeft w:val="0"/>
              <w:marRight w:val="0"/>
              <w:marTop w:val="0"/>
              <w:marBottom w:val="0"/>
              <w:divBdr>
                <w:top w:val="none" w:sz="0" w:space="0" w:color="auto"/>
                <w:left w:val="none" w:sz="0" w:space="0" w:color="auto"/>
                <w:bottom w:val="none" w:sz="0" w:space="0" w:color="auto"/>
                <w:right w:val="none" w:sz="0" w:space="0" w:color="auto"/>
              </w:divBdr>
            </w:div>
            <w:div w:id="1568687844">
              <w:marLeft w:val="0"/>
              <w:marRight w:val="0"/>
              <w:marTop w:val="0"/>
              <w:marBottom w:val="0"/>
              <w:divBdr>
                <w:top w:val="none" w:sz="0" w:space="0" w:color="auto"/>
                <w:left w:val="none" w:sz="0" w:space="0" w:color="auto"/>
                <w:bottom w:val="none" w:sz="0" w:space="0" w:color="auto"/>
                <w:right w:val="none" w:sz="0" w:space="0" w:color="auto"/>
              </w:divBdr>
            </w:div>
          </w:divsChild>
        </w:div>
        <w:div w:id="628709997">
          <w:marLeft w:val="0"/>
          <w:marRight w:val="0"/>
          <w:marTop w:val="0"/>
          <w:marBottom w:val="0"/>
          <w:divBdr>
            <w:top w:val="none" w:sz="0" w:space="0" w:color="auto"/>
            <w:left w:val="none" w:sz="0" w:space="0" w:color="auto"/>
            <w:bottom w:val="none" w:sz="0" w:space="0" w:color="auto"/>
            <w:right w:val="none" w:sz="0" w:space="0" w:color="auto"/>
          </w:divBdr>
          <w:divsChild>
            <w:div w:id="25563061">
              <w:marLeft w:val="0"/>
              <w:marRight w:val="0"/>
              <w:marTop w:val="0"/>
              <w:marBottom w:val="0"/>
              <w:divBdr>
                <w:top w:val="none" w:sz="0" w:space="0" w:color="auto"/>
                <w:left w:val="none" w:sz="0" w:space="0" w:color="auto"/>
                <w:bottom w:val="none" w:sz="0" w:space="0" w:color="auto"/>
                <w:right w:val="none" w:sz="0" w:space="0" w:color="auto"/>
              </w:divBdr>
            </w:div>
            <w:div w:id="6607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p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E98AE-E660-4185-AEAE-8899069E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senay</dc:creator>
  <cp:keywords/>
  <dc:description/>
  <cp:lastModifiedBy>Tessa Buchanan</cp:lastModifiedBy>
  <cp:revision>3</cp:revision>
  <cp:lastPrinted>2016-12-13T22:17:00Z</cp:lastPrinted>
  <dcterms:created xsi:type="dcterms:W3CDTF">2016-12-13T22:14:00Z</dcterms:created>
  <dcterms:modified xsi:type="dcterms:W3CDTF">2016-12-13T22:39:00Z</dcterms:modified>
</cp:coreProperties>
</file>