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jc w:val="center"/>
        <w:tblCellSpacing w:w="0" w:type="dxa"/>
        <w:tblCellMar>
          <w:left w:w="0" w:type="dxa"/>
          <w:right w:w="0" w:type="dxa"/>
        </w:tblCellMar>
        <w:tblLook w:val="04A0" w:firstRow="1" w:lastRow="0" w:firstColumn="1" w:lastColumn="0" w:noHBand="0" w:noVBand="1"/>
      </w:tblPr>
      <w:tblGrid>
        <w:gridCol w:w="6300"/>
        <w:gridCol w:w="5250"/>
      </w:tblGrid>
      <w:tr w:rsidR="00602B69" w:rsidRPr="00602B69" w14:paraId="1D54A40E" w14:textId="77777777" w:rsidTr="00602B69">
        <w:trPr>
          <w:gridAfter w:val="1"/>
          <w:tblCellSpacing w:w="0" w:type="dxa"/>
          <w:jc w:val="center"/>
        </w:trPr>
        <w:tc>
          <w:tcPr>
            <w:tcW w:w="6300" w:type="dxa"/>
            <w:vAlign w:val="center"/>
            <w:hideMark/>
          </w:tcPr>
          <w:p w14:paraId="64A15C09" w14:textId="77777777" w:rsidR="00602B69" w:rsidRPr="00602B69" w:rsidRDefault="00602B69" w:rsidP="00602B69">
            <w:pPr>
              <w:spacing w:after="0" w:line="240" w:lineRule="auto"/>
              <w:rPr>
                <w:rFonts w:ascii="Calibri" w:eastAsia="Times New Roman" w:hAnsi="Calibri" w:cs="Calibri"/>
                <w:lang w:eastAsia="en-GB"/>
              </w:rPr>
            </w:pPr>
            <w:r w:rsidRPr="00602B69">
              <w:rPr>
                <w:rFonts w:ascii="Calibri" w:eastAsia="Times New Roman" w:hAnsi="Calibri" w:cs="Calibri"/>
                <w:lang w:eastAsia="en-GB"/>
              </w:rPr>
              <w:br/>
              <w:t> </w:t>
            </w:r>
          </w:p>
        </w:tc>
      </w:tr>
      <w:tr w:rsidR="00602B69" w:rsidRPr="00602B69" w14:paraId="52E2E487" w14:textId="77777777" w:rsidTr="00602B69">
        <w:trPr>
          <w:tblCellSpacing w:w="0" w:type="dxa"/>
          <w:jc w:val="center"/>
        </w:trPr>
        <w:tc>
          <w:tcPr>
            <w:tcW w:w="0" w:type="auto"/>
            <w:hideMark/>
          </w:tcPr>
          <w:p w14:paraId="53267E4F" w14:textId="601527EB" w:rsidR="005E4828" w:rsidRPr="00602B69" w:rsidRDefault="00602B69" w:rsidP="005E4828">
            <w:pPr>
              <w:spacing w:after="0" w:line="240" w:lineRule="auto"/>
              <w:rPr>
                <w:rFonts w:ascii="Verdana" w:eastAsia="Times New Roman" w:hAnsi="Verdana" w:cs="Calibri"/>
                <w:bdr w:val="none" w:sz="0" w:space="0" w:color="auto" w:frame="1"/>
                <w:lang w:eastAsia="en-GB"/>
              </w:rPr>
            </w:pPr>
            <w:r w:rsidRPr="00602B69">
              <w:rPr>
                <w:rFonts w:ascii="Verdana" w:eastAsia="Times New Roman" w:hAnsi="Verdana" w:cs="Calibri"/>
                <w:bdr w:val="none" w:sz="0" w:space="0" w:color="auto" w:frame="1"/>
                <w:lang w:eastAsia="en-GB"/>
              </w:rPr>
              <w:t>information for</w:t>
            </w:r>
            <w:r w:rsidRPr="00602B69">
              <w:rPr>
                <w:rFonts w:ascii="Verdana" w:eastAsia="Times New Roman" w:hAnsi="Verdana" w:cs="Calibri"/>
                <w:color w:val="A40045"/>
                <w:bdr w:val="none" w:sz="0" w:space="0" w:color="auto" w:frame="1"/>
                <w:lang w:eastAsia="en-GB"/>
              </w:rPr>
              <w:t> members</w:t>
            </w:r>
          </w:p>
        </w:tc>
        <w:tc>
          <w:tcPr>
            <w:tcW w:w="0" w:type="auto"/>
            <w:hideMark/>
          </w:tcPr>
          <w:p w14:paraId="06C872A5" w14:textId="77777777" w:rsidR="00602B69" w:rsidRPr="00602B69" w:rsidRDefault="00602B69" w:rsidP="00602B69">
            <w:pPr>
              <w:spacing w:after="0" w:line="240" w:lineRule="auto"/>
              <w:jc w:val="right"/>
              <w:rPr>
                <w:rFonts w:ascii="Calibri" w:eastAsia="Times New Roman" w:hAnsi="Calibri" w:cs="Calibri"/>
                <w:lang w:eastAsia="en-GB"/>
              </w:rPr>
            </w:pPr>
            <w:r w:rsidRPr="00602B69">
              <w:rPr>
                <w:rFonts w:ascii="Calibri" w:eastAsia="Times New Roman" w:hAnsi="Calibri" w:cs="Calibri"/>
                <w:noProof/>
                <w:bdr w:val="none" w:sz="0" w:space="0" w:color="auto" w:frame="1"/>
                <w:lang w:eastAsia="en-GB"/>
              </w:rPr>
              <mc:AlternateContent>
                <mc:Choice Requires="wps">
                  <w:drawing>
                    <wp:inline distT="0" distB="0" distL="0" distR="0" wp14:anchorId="02EBBFF5" wp14:editId="292FB97A">
                      <wp:extent cx="3333750" cy="504825"/>
                      <wp:effectExtent l="0" t="0" r="0" b="0"/>
                      <wp:docPr id="1" name="x__x0000_i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D9A8A" id="x__x0000_i1025" o:spid="_x0000_s1026" style="width:26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" filled="f" stroked="f">
                      <o:lock v:ext="edit" aspectratio="t"/>
                      <w10:anchorlock/>
                    </v:rect>
                  </w:pict>
                </mc:Fallback>
              </mc:AlternateContent>
            </w:r>
          </w:p>
        </w:tc>
      </w:tr>
    </w:tbl>
    <w:p w14:paraId="6F9694AF" w14:textId="77777777" w:rsidR="00602B69" w:rsidRPr="00602B69" w:rsidRDefault="00602B69" w:rsidP="00602B69">
      <w:pPr>
        <w:shd w:val="clear" w:color="auto" w:fill="FFFFFF"/>
        <w:spacing w:after="0" w:line="240" w:lineRule="auto"/>
        <w:jc w:val="center"/>
        <w:textAlignment w:val="baseline"/>
        <w:rPr>
          <w:rFonts w:ascii="Segoe UI" w:eastAsia="Times New Roman" w:hAnsi="Segoe UI" w:cs="Segoe UI"/>
          <w:vanish/>
          <w:color w:val="201F1E"/>
          <w:lang w:eastAsia="en-GB"/>
        </w:rPr>
      </w:pPr>
    </w:p>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602B69" w:rsidRPr="00602B69" w14:paraId="47938F42" w14:textId="77777777" w:rsidTr="00602B69">
        <w:trPr>
          <w:tblCellSpacing w:w="0" w:type="dxa"/>
          <w:jc w:val="center"/>
        </w:trPr>
        <w:tc>
          <w:tcPr>
            <w:tcW w:w="0" w:type="auto"/>
            <w:hideMark/>
          </w:tcPr>
          <w:p w14:paraId="7ED2ED83" w14:textId="77777777" w:rsidR="00602B69" w:rsidRPr="00602B69" w:rsidRDefault="00602B69" w:rsidP="00602B69">
            <w:pPr>
              <w:spacing w:after="0" w:line="240" w:lineRule="auto"/>
              <w:rPr>
                <w:rFonts w:ascii="Calibri" w:eastAsia="Times New Roman" w:hAnsi="Calibri" w:cs="Calibri"/>
                <w:lang w:eastAsia="en-GB"/>
              </w:rPr>
            </w:pPr>
            <w:r w:rsidRPr="00602B69">
              <w:rPr>
                <w:rFonts w:ascii="Verdana" w:eastAsia="Times New Roman" w:hAnsi="Verdana" w:cs="Calibri"/>
                <w:b/>
                <w:bCs/>
                <w:color w:val="990033"/>
                <w:bdr w:val="none" w:sz="0" w:space="0" w:color="auto" w:frame="1"/>
                <w:lang w:eastAsia="en-GB"/>
              </w:rPr>
              <w:t>Save the Date</w:t>
            </w:r>
            <w:r w:rsidRPr="00602B69">
              <w:rPr>
                <w:rFonts w:ascii="Verdana" w:eastAsia="Times New Roman" w:hAnsi="Verdana" w:cs="Calibri"/>
                <w:b/>
                <w:bCs/>
                <w:bdr w:val="none" w:sz="0" w:space="0" w:color="auto" w:frame="1"/>
                <w:lang w:eastAsia="en-GB"/>
              </w:rPr>
              <w:br/>
            </w:r>
            <w:r w:rsidRPr="00602B69">
              <w:rPr>
                <w:rFonts w:ascii="Verdana" w:eastAsia="Times New Roman" w:hAnsi="Verdana" w:cs="Calibri"/>
                <w:b/>
                <w:bCs/>
                <w:bdr w:val="none" w:sz="0" w:space="0" w:color="auto" w:frame="1"/>
                <w:lang w:eastAsia="en-GB"/>
              </w:rPr>
              <w:br/>
              <w:t>The Housing Law Conference 9 December 2021</w:t>
            </w:r>
            <w:r w:rsidRPr="00602B69">
              <w:rPr>
                <w:rFonts w:ascii="Verdana" w:eastAsia="Times New Roman" w:hAnsi="Verdana" w:cs="Calibri"/>
                <w:b/>
                <w:bCs/>
                <w:bdr w:val="none" w:sz="0" w:space="0" w:color="auto" w:frame="1"/>
                <w:lang w:eastAsia="en-GB"/>
              </w:rPr>
              <w:br/>
              <w:t>Social Housing in the UK: Fit for the 21</w:t>
            </w:r>
            <w:r w:rsidRPr="00602B69">
              <w:rPr>
                <w:rFonts w:ascii="Verdana" w:eastAsia="Times New Roman" w:hAnsi="Verdana" w:cs="Calibri"/>
                <w:b/>
                <w:bCs/>
                <w:bdr w:val="none" w:sz="0" w:space="0" w:color="auto" w:frame="1"/>
                <w:vertAlign w:val="superscript"/>
                <w:lang w:eastAsia="en-GB"/>
              </w:rPr>
              <w:t>st</w:t>
            </w:r>
            <w:r w:rsidRPr="00602B69">
              <w:rPr>
                <w:rFonts w:ascii="Verdana" w:eastAsia="Times New Roman" w:hAnsi="Verdana" w:cs="Calibri"/>
                <w:b/>
                <w:bCs/>
                <w:bdr w:val="none" w:sz="0" w:space="0" w:color="auto" w:frame="1"/>
                <w:lang w:eastAsia="en-GB"/>
              </w:rPr>
              <w:t> Century?</w:t>
            </w:r>
          </w:p>
          <w:p w14:paraId="7CEEC92D" w14:textId="77777777" w:rsidR="00602B69" w:rsidRPr="00602B69" w:rsidRDefault="00602B69" w:rsidP="00602B69">
            <w:pPr>
              <w:spacing w:beforeAutospacing="1" w:after="0" w:afterAutospacing="1" w:line="240" w:lineRule="auto"/>
              <w:rPr>
                <w:rFonts w:ascii="Times New Roman" w:eastAsia="Times New Roman" w:hAnsi="Times New Roman" w:cs="Times New Roman"/>
                <w:lang w:eastAsia="en-GB"/>
              </w:rPr>
            </w:pPr>
            <w:r w:rsidRPr="00602B69">
              <w:rPr>
                <w:rFonts w:ascii="inherit" w:eastAsia="Times New Roman" w:hAnsi="inherit" w:cs="Times New Roman"/>
                <w:bdr w:val="none" w:sz="0" w:space="0" w:color="auto" w:frame="1"/>
                <w:lang w:val="en" w:eastAsia="en-GB"/>
              </w:rPr>
              <w:t>This year’s Housing Law Conference will once again be held virtually. It is hoped that, as in 2020, this will offer a great opportunity for colleagues from all over England and Wales (and further afield!) to participate in the conference. We have maintained the cost of attending the conference at a low level to encourage maximum participation and look forward to welcoming you all – early bird discounts apply for bookings before 19 November!</w:t>
            </w:r>
          </w:p>
          <w:p w14:paraId="6FA8B6A9" w14:textId="77777777" w:rsidR="00602B69" w:rsidRPr="00602B69" w:rsidRDefault="00602B69" w:rsidP="00602B69">
            <w:pPr>
              <w:spacing w:after="0" w:line="240" w:lineRule="auto"/>
              <w:rPr>
                <w:rFonts w:ascii="Calibri" w:eastAsia="Times New Roman" w:hAnsi="Calibri" w:cs="Calibri"/>
                <w:lang w:eastAsia="en-GB"/>
              </w:rPr>
            </w:pPr>
            <w:r w:rsidRPr="00602B69">
              <w:rPr>
                <w:rFonts w:ascii="inherit" w:eastAsia="Times New Roman" w:hAnsi="inherit" w:cs="Calibri"/>
                <w:b/>
                <w:bCs/>
                <w:bdr w:val="none" w:sz="0" w:space="0" w:color="auto" w:frame="1"/>
                <w:lang w:eastAsia="en-GB"/>
              </w:rPr>
              <w:t>THE BACKDROP</w:t>
            </w:r>
            <w:r w:rsidRPr="00602B69">
              <w:rPr>
                <w:rFonts w:ascii="inherit" w:eastAsia="Times New Roman" w:hAnsi="inherit" w:cs="Calibri"/>
                <w:b/>
                <w:bCs/>
                <w:bdr w:val="none" w:sz="0" w:space="0" w:color="auto" w:frame="1"/>
                <w:lang w:eastAsia="en-GB"/>
              </w:rPr>
              <w:br/>
            </w:r>
            <w:r w:rsidRPr="00602B69">
              <w:rPr>
                <w:rFonts w:ascii="inherit" w:eastAsia="Times New Roman" w:hAnsi="inherit" w:cs="Calibri"/>
                <w:bdr w:val="none" w:sz="0" w:space="0" w:color="auto" w:frame="1"/>
                <w:lang w:val="en" w:eastAsia="en-GB"/>
              </w:rPr>
              <w:t>There is an undeniable link between decent housing and the wellbeing, health and security of individuals and consequently the ability to house its citizens should be seen as a fundamental responsibility of any government. Council built housing began appearing in the UK in the 1860s. A century or so later, there was a period of frenetic council house building, including high-rise and deck-access council estates. Local authorities build comparatively few houses these days and they have been overtaken by Housing Associations who build the vast majority of social housing. However, the </w:t>
            </w:r>
            <w:r w:rsidRPr="00602B69">
              <w:rPr>
                <w:rFonts w:ascii="inherit" w:eastAsia="Times New Roman" w:hAnsi="inherit" w:cs="Calibri"/>
                <w:i/>
                <w:iCs/>
                <w:bdr w:val="none" w:sz="0" w:space="0" w:color="auto" w:frame="1"/>
                <w:lang w:val="en" w:eastAsia="en-GB"/>
              </w:rPr>
              <w:t>Right to Buy</w:t>
            </w:r>
            <w:r w:rsidRPr="00602B69">
              <w:rPr>
                <w:rFonts w:ascii="inherit" w:eastAsia="Times New Roman" w:hAnsi="inherit" w:cs="Calibri"/>
                <w:bdr w:val="none" w:sz="0" w:space="0" w:color="auto" w:frame="1"/>
                <w:lang w:val="en" w:eastAsia="en-GB"/>
              </w:rPr>
              <w:t> and </w:t>
            </w:r>
            <w:r w:rsidRPr="00602B69">
              <w:rPr>
                <w:rFonts w:ascii="inherit" w:eastAsia="Times New Roman" w:hAnsi="inherit" w:cs="Calibri"/>
                <w:i/>
                <w:iCs/>
                <w:bdr w:val="none" w:sz="0" w:space="0" w:color="auto" w:frame="1"/>
                <w:lang w:val="en" w:eastAsia="en-GB"/>
              </w:rPr>
              <w:t>Right to Acquire</w:t>
            </w:r>
            <w:r w:rsidRPr="00602B69">
              <w:rPr>
                <w:rFonts w:ascii="inherit" w:eastAsia="Times New Roman" w:hAnsi="inherit" w:cs="Calibri"/>
                <w:bdr w:val="none" w:sz="0" w:space="0" w:color="auto" w:frame="1"/>
                <w:lang w:val="en" w:eastAsia="en-GB"/>
              </w:rPr>
              <w:t> schemes, along with the failure of successive governments to build more housing contributed to the drastic reduction in the overall amount of social housing in the UK, which has fallen from nearly 6.5 million units in 1979 to roughly 2 million units in 2017. Jump forward to the current day. The lack of affordable housing, compounded by welfare reform and restrictions on support with rent has caused considerable hardship for people of low income. This has a massive personal cost to mental health and wellbeing, as well as the financial cost to households and the substantial costs to local authorities providing temporary accommodation.</w:t>
            </w:r>
            <w:r w:rsidRPr="00602B69">
              <w:rPr>
                <w:rFonts w:ascii="inherit" w:eastAsia="Times New Roman" w:hAnsi="inherit" w:cs="Calibri"/>
                <w:bdr w:val="none" w:sz="0" w:space="0" w:color="auto" w:frame="1"/>
                <w:lang w:val="en" w:eastAsia="en-GB"/>
              </w:rPr>
              <w:br/>
            </w:r>
            <w:r w:rsidRPr="00602B69">
              <w:rPr>
                <w:rFonts w:ascii="inherit" w:eastAsia="Times New Roman" w:hAnsi="inherit" w:cs="Calibri"/>
                <w:bdr w:val="none" w:sz="0" w:space="0" w:color="auto" w:frame="1"/>
                <w:lang w:val="en" w:eastAsia="en-GB"/>
              </w:rPr>
              <w:br/>
              <w:t>Equally, if not more, depressing, the problem is not just about the lack of numbers. For years dealing with appalling conditions in social housing has been a way of life for many of our clients. Despite initiatives such as the Decent Homes Programme back in 2000, </w:t>
            </w:r>
            <w:r w:rsidRPr="00602B69">
              <w:rPr>
                <w:rFonts w:ascii="inherit" w:eastAsia="Times New Roman" w:hAnsi="inherit" w:cs="Calibri"/>
                <w:i/>
                <w:iCs/>
                <w:bdr w:val="none" w:sz="0" w:space="0" w:color="auto" w:frame="1"/>
                <w:lang w:val="en" w:eastAsia="en-GB"/>
              </w:rPr>
              <w:t>‘the quality of social housing, particularly in some parts of the country, remains scandalously poor’</w:t>
            </w:r>
            <w:r w:rsidRPr="00602B69">
              <w:rPr>
                <w:rFonts w:ascii="inherit" w:eastAsia="Times New Roman" w:hAnsi="inherit" w:cs="Calibri"/>
                <w:bdr w:val="none" w:sz="0" w:space="0" w:color="auto" w:frame="1"/>
                <w:lang w:val="en" w:eastAsia="en-GB"/>
              </w:rPr>
              <w:t>. Not, as you might think, a quote from a lefty housing lawyer, but Michael Gove speaking as the new Secretary of State for Levelling Up, Housing and Communities. Largely as a result of a series of high-profile investigations by ITV News, these issues are now making the headlines.</w:t>
            </w:r>
          </w:p>
          <w:p w14:paraId="36746037" w14:textId="77777777" w:rsidR="00602B69" w:rsidRPr="00602B69" w:rsidRDefault="00602B69" w:rsidP="00602B69">
            <w:pPr>
              <w:shd w:val="clear" w:color="auto" w:fill="FFFFFF"/>
              <w:spacing w:beforeAutospacing="1" w:after="0" w:line="240" w:lineRule="auto"/>
              <w:rPr>
                <w:rFonts w:ascii="Times New Roman" w:eastAsia="Times New Roman" w:hAnsi="Times New Roman" w:cs="Times New Roman"/>
                <w:lang w:eastAsia="en-GB"/>
              </w:rPr>
            </w:pPr>
            <w:r w:rsidRPr="00602B69">
              <w:rPr>
                <w:rFonts w:ascii="inherit" w:eastAsia="Times New Roman" w:hAnsi="inherit" w:cs="Times New Roman"/>
                <w:color w:val="000000"/>
                <w:bdr w:val="none" w:sz="0" w:space="0" w:color="auto" w:frame="1"/>
                <w:lang w:val="en" w:eastAsia="en-GB"/>
              </w:rPr>
              <w:t>So, is social housing in the UK fit for the 21st Century?</w:t>
            </w:r>
          </w:p>
          <w:p w14:paraId="299BEA56" w14:textId="77777777" w:rsidR="00602B69" w:rsidRPr="00602B69" w:rsidRDefault="00602B69" w:rsidP="00602B69">
            <w:pPr>
              <w:spacing w:beforeAutospacing="1" w:after="0" w:afterAutospacing="1" w:line="240" w:lineRule="auto"/>
              <w:rPr>
                <w:rFonts w:ascii="Times New Roman" w:eastAsia="Times New Roman" w:hAnsi="Times New Roman" w:cs="Times New Roman"/>
                <w:lang w:eastAsia="en-GB"/>
              </w:rPr>
            </w:pPr>
            <w:r w:rsidRPr="00602B69">
              <w:rPr>
                <w:rFonts w:ascii="inherit" w:eastAsia="Times New Roman" w:hAnsi="inherit" w:cs="Times New Roman"/>
                <w:b/>
                <w:bCs/>
                <w:bdr w:val="none" w:sz="0" w:space="0" w:color="auto" w:frame="1"/>
                <w:lang w:eastAsia="en-GB"/>
              </w:rPr>
              <w:t>THE CONFERENCE</w:t>
            </w:r>
            <w:r w:rsidRPr="00602B69">
              <w:rPr>
                <w:rFonts w:ascii="inherit" w:eastAsia="Times New Roman" w:hAnsi="inherit" w:cs="Times New Roman"/>
                <w:b/>
                <w:bCs/>
                <w:bdr w:val="none" w:sz="0" w:space="0" w:color="auto" w:frame="1"/>
                <w:lang w:eastAsia="en-GB"/>
              </w:rPr>
              <w:br/>
            </w:r>
            <w:r w:rsidRPr="00602B69">
              <w:rPr>
                <w:rFonts w:ascii="inherit" w:eastAsia="Times New Roman" w:hAnsi="inherit" w:cs="Times New Roman"/>
                <w:bdr w:val="none" w:sz="0" w:space="0" w:color="auto" w:frame="1"/>
                <w:lang w:eastAsia="en-GB"/>
              </w:rPr>
              <w:t>The plenary sessions at the conference will focus on issues regarding social housing in the UK – examining how have we arrived at the current situation, where we are heading and how might we improve provision. The panel discussion will include contributions from </w:t>
            </w:r>
            <w:r w:rsidRPr="00602B69">
              <w:rPr>
                <w:rFonts w:ascii="inherit" w:eastAsia="Times New Roman" w:hAnsi="inherit" w:cs="Times New Roman"/>
                <w:b/>
                <w:bCs/>
                <w:bdr w:val="none" w:sz="0" w:space="0" w:color="auto" w:frame="1"/>
                <w:lang w:eastAsia="en-GB"/>
              </w:rPr>
              <w:t>Karen Buck</w:t>
            </w:r>
            <w:r w:rsidRPr="00602B69">
              <w:rPr>
                <w:rFonts w:ascii="inherit" w:eastAsia="Times New Roman" w:hAnsi="inherit" w:cs="Times New Roman"/>
                <w:bdr w:val="none" w:sz="0" w:space="0" w:color="auto" w:frame="1"/>
                <w:lang w:eastAsia="en-GB"/>
              </w:rPr>
              <w:t>, MP for Westminster North, </w:t>
            </w:r>
            <w:r w:rsidRPr="00602B69">
              <w:rPr>
                <w:rFonts w:ascii="inherit" w:eastAsia="Times New Roman" w:hAnsi="inherit" w:cs="Times New Roman"/>
                <w:b/>
                <w:bCs/>
                <w:bdr w:val="none" w:sz="0" w:space="0" w:color="auto" w:frame="1"/>
                <w:lang w:eastAsia="en-GB"/>
              </w:rPr>
              <w:t>John Boughton</w:t>
            </w:r>
            <w:r w:rsidRPr="00602B69">
              <w:rPr>
                <w:rFonts w:ascii="inherit" w:eastAsia="Times New Roman" w:hAnsi="inherit" w:cs="Times New Roman"/>
                <w:bdr w:val="none" w:sz="0" w:space="0" w:color="auto" w:frame="1"/>
                <w:lang w:eastAsia="en-GB"/>
              </w:rPr>
              <w:t>, author of </w:t>
            </w:r>
            <w:r w:rsidRPr="00602B69">
              <w:rPr>
                <w:rFonts w:ascii="inherit" w:eastAsia="Times New Roman" w:hAnsi="inherit" w:cs="Times New Roman"/>
                <w:i/>
                <w:iCs/>
                <w:bdr w:val="none" w:sz="0" w:space="0" w:color="auto" w:frame="1"/>
                <w:lang w:eastAsia="en-GB"/>
              </w:rPr>
              <w:t>Municipal Dreams: The Rise and Fall of Council Housing </w:t>
            </w:r>
            <w:r w:rsidRPr="00602B69">
              <w:rPr>
                <w:rFonts w:ascii="inherit" w:eastAsia="Times New Roman" w:hAnsi="inherit" w:cs="Times New Roman"/>
                <w:bdr w:val="none" w:sz="0" w:space="0" w:color="auto" w:frame="1"/>
                <w:lang w:eastAsia="en-GB"/>
              </w:rPr>
              <w:t>and </w:t>
            </w:r>
            <w:r w:rsidRPr="00602B69">
              <w:rPr>
                <w:rFonts w:ascii="inherit" w:eastAsia="Times New Roman" w:hAnsi="inherit" w:cs="Times New Roman"/>
                <w:b/>
                <w:bCs/>
                <w:bdr w:val="none" w:sz="0" w:space="0" w:color="auto" w:frame="1"/>
                <w:lang w:eastAsia="en-GB"/>
              </w:rPr>
              <w:t>Anna Minton</w:t>
            </w:r>
            <w:r w:rsidRPr="00602B69">
              <w:rPr>
                <w:rFonts w:ascii="inherit" w:eastAsia="Times New Roman" w:hAnsi="inherit" w:cs="Times New Roman"/>
                <w:bdr w:val="none" w:sz="0" w:space="0" w:color="auto" w:frame="1"/>
                <w:lang w:eastAsia="en-GB"/>
              </w:rPr>
              <w:t>, Writer, Journalist and Reader in Architecture.</w:t>
            </w:r>
          </w:p>
          <w:p w14:paraId="5D799C3D" w14:textId="77777777" w:rsidR="00602B69" w:rsidRPr="00602B69" w:rsidRDefault="00602B69" w:rsidP="00602B69">
            <w:pPr>
              <w:spacing w:beforeAutospacing="1" w:after="0" w:afterAutospacing="1" w:line="240" w:lineRule="auto"/>
              <w:rPr>
                <w:rFonts w:ascii="Times New Roman" w:eastAsia="Times New Roman" w:hAnsi="Times New Roman" w:cs="Times New Roman"/>
                <w:lang w:eastAsia="en-GB"/>
              </w:rPr>
            </w:pPr>
            <w:r w:rsidRPr="00602B69">
              <w:rPr>
                <w:rFonts w:ascii="inherit" w:eastAsia="Times New Roman" w:hAnsi="inherit" w:cs="Times New Roman"/>
                <w:bdr w:val="none" w:sz="0" w:space="0" w:color="auto" w:frame="1"/>
                <w:lang w:eastAsia="en-GB"/>
              </w:rPr>
              <w:t>As usual, there will also be a selection of informative seminars, dealing with key topics like housing conditions; homelessness; defending possession proceedings; anti-social behaviour; housing outside of the Housing Acts; legal aid and CFAs; domestic violence and housing and opportunities for work in the Property Tribunal. Al</w:t>
            </w:r>
            <w:r w:rsidRPr="00602B69">
              <w:rPr>
                <w:rFonts w:ascii="inherit" w:eastAsia="Times New Roman" w:hAnsi="inherit" w:cs="Times New Roman"/>
                <w:bdr w:val="none" w:sz="0" w:space="0" w:color="auto" w:frame="1"/>
                <w:lang w:val="en" w:eastAsia="en-GB"/>
              </w:rPr>
              <w:t>l eight seminars will be recorded for delegates to watch at their leisure after the event.</w:t>
            </w:r>
          </w:p>
          <w:p w14:paraId="1D6BB671" w14:textId="77777777" w:rsidR="00602B69" w:rsidRPr="00602B69" w:rsidRDefault="00602B69" w:rsidP="00602B69">
            <w:pPr>
              <w:spacing w:after="0" w:line="253" w:lineRule="atLeast"/>
              <w:rPr>
                <w:rFonts w:ascii="Calibri" w:eastAsia="Times New Roman" w:hAnsi="Calibri" w:cs="Calibri"/>
                <w:lang w:eastAsia="en-GB"/>
              </w:rPr>
            </w:pPr>
            <w:r w:rsidRPr="00602B69">
              <w:rPr>
                <w:rFonts w:ascii="inherit" w:eastAsia="Times New Roman" w:hAnsi="inherit" w:cs="Calibri"/>
                <w:bdr w:val="none" w:sz="0" w:space="0" w:color="auto" w:frame="1"/>
                <w:lang w:eastAsia="en-GB"/>
              </w:rPr>
              <w:t>Registration details will be circulated to members shortly, but please save the date in the meantime.</w:t>
            </w:r>
          </w:p>
          <w:p w14:paraId="4842BE34" w14:textId="0D73F5E3" w:rsidR="00602B69" w:rsidRPr="00602B69" w:rsidRDefault="00602B69" w:rsidP="00602B69">
            <w:pPr>
              <w:spacing w:after="0" w:line="253" w:lineRule="atLeast"/>
              <w:rPr>
                <w:rFonts w:ascii="Calibri" w:eastAsia="Times New Roman" w:hAnsi="Calibri" w:cs="Calibri"/>
                <w:lang w:eastAsia="en-GB"/>
              </w:rPr>
            </w:pPr>
            <w:r w:rsidRPr="00602B69">
              <w:rPr>
                <w:rFonts w:ascii="inherit" w:eastAsia="Times New Roman" w:hAnsi="inherit" w:cs="Calibri"/>
                <w:bdr w:val="none" w:sz="0" w:space="0" w:color="auto" w:frame="1"/>
                <w:lang w:eastAsia="en-GB"/>
              </w:rPr>
              <w:t>For further information, contact Professional Briefings: </w:t>
            </w:r>
            <w:hyperlink r:id="rId4" w:tgtFrame="_blank" w:history="1">
              <w:r w:rsidRPr="00602B69">
                <w:rPr>
                  <w:rFonts w:ascii="inherit" w:eastAsia="Times New Roman" w:hAnsi="inherit" w:cs="Calibri"/>
                  <w:color w:val="0000FF"/>
                  <w:u w:val="single"/>
                  <w:bdr w:val="none" w:sz="0" w:space="0" w:color="auto" w:frame="1"/>
                  <w:lang w:eastAsia="en-GB"/>
                </w:rPr>
                <w:t>london@profbriefings.co.uk</w:t>
              </w:r>
            </w:hyperlink>
            <w:r w:rsidRPr="00602B69">
              <w:rPr>
                <w:rFonts w:ascii="inherit" w:eastAsia="Times New Roman" w:hAnsi="inherit" w:cs="Calibri"/>
                <w:bdr w:val="none" w:sz="0" w:space="0" w:color="auto" w:frame="1"/>
                <w:lang w:eastAsia="en-GB"/>
              </w:rPr>
              <w:t>, 01920 282262</w:t>
            </w:r>
          </w:p>
          <w:p w14:paraId="4387B0B9" w14:textId="3DD208AC" w:rsidR="00602B69" w:rsidRPr="00602B69" w:rsidRDefault="00602B69" w:rsidP="00602B69">
            <w:pPr>
              <w:spacing w:after="0" w:line="253" w:lineRule="atLeast"/>
              <w:rPr>
                <w:rFonts w:ascii="Calibri" w:eastAsia="Times New Roman" w:hAnsi="Calibri" w:cs="Calibri"/>
                <w:lang w:eastAsia="en-GB"/>
              </w:rPr>
            </w:pPr>
          </w:p>
        </w:tc>
      </w:tr>
    </w:tbl>
    <w:p w14:paraId="57C027C1" w14:textId="77777777" w:rsidR="007256FB" w:rsidRPr="00602B69" w:rsidRDefault="007256FB">
      <w:pPr>
        <w:rPr>
          <w:sz w:val="24"/>
          <w:szCs w:val="24"/>
        </w:rPr>
      </w:pPr>
    </w:p>
    <w:sectPr w:rsidR="007256FB" w:rsidRPr="00602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69"/>
    <w:rsid w:val="00430FA0"/>
    <w:rsid w:val="005E4828"/>
    <w:rsid w:val="00602B69"/>
    <w:rsid w:val="0072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EB85"/>
  <w15:chartTrackingRefBased/>
  <w15:docId w15:val="{97E4DCA6-07CE-45FF-8DAD-17F6256A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ndon@profbriefin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gyanendra rao</dc:creator>
  <cp:keywords/>
  <dc:description/>
  <cp:lastModifiedBy>gyanendra rao</cp:lastModifiedBy>
  <cp:revision>2</cp:revision>
  <dcterms:created xsi:type="dcterms:W3CDTF">2021-11-03T10:27:00Z</dcterms:created>
  <dcterms:modified xsi:type="dcterms:W3CDTF">2021-11-03T10:34:00Z</dcterms:modified>
</cp:coreProperties>
</file>